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BEBF0" w14:textId="77777777" w:rsidR="003F55F7" w:rsidRDefault="003F55F7">
      <w:pPr>
        <w:widowControl w:val="0"/>
        <w:jc w:val="center"/>
        <w:rPr>
          <w:b/>
          <w:color w:val="000000" w:themeColor="text1"/>
          <w:sz w:val="36"/>
        </w:rPr>
      </w:pPr>
      <w:bookmarkStart w:id="0" w:name="_Hlk520270911"/>
      <w:bookmarkStart w:id="1" w:name="_Toc484002813"/>
    </w:p>
    <w:p w14:paraId="51B06B93" w14:textId="558AA8D6" w:rsidR="008F2E78" w:rsidRPr="00C9196A" w:rsidRDefault="0045781E">
      <w:pPr>
        <w:widowControl w:val="0"/>
        <w:jc w:val="center"/>
        <w:rPr>
          <w:color w:val="000000" w:themeColor="text1"/>
          <w:sz w:val="36"/>
          <w:szCs w:val="36"/>
        </w:rPr>
      </w:pPr>
      <w:r w:rsidRPr="00C9196A">
        <w:rPr>
          <w:b/>
          <w:color w:val="000000" w:themeColor="text1"/>
          <w:sz w:val="36"/>
        </w:rPr>
        <w:t>UNIFORM SUPPLEMENTAL COMMERCIAL LAW</w:t>
      </w:r>
    </w:p>
    <w:p w14:paraId="781BBD04" w14:textId="51A0693F" w:rsidR="008F2E78" w:rsidRPr="00C9196A" w:rsidRDefault="0045781E">
      <w:pPr>
        <w:widowControl w:val="0"/>
        <w:jc w:val="center"/>
        <w:rPr>
          <w:color w:val="000000" w:themeColor="text1"/>
          <w:sz w:val="36"/>
        </w:rPr>
      </w:pPr>
      <w:r w:rsidRPr="00C9196A">
        <w:rPr>
          <w:b/>
          <w:color w:val="000000" w:themeColor="text1"/>
          <w:sz w:val="36"/>
        </w:rPr>
        <w:t>FOR THE UNIFORM REGULATION OF VIRTUAL-CURRENCY BUSINESSES ACT</w:t>
      </w:r>
    </w:p>
    <w:p w14:paraId="5B2F41C1" w14:textId="77777777" w:rsidR="008F2E78" w:rsidRPr="00C9196A" w:rsidRDefault="008F2E78">
      <w:pPr>
        <w:jc w:val="center"/>
        <w:rPr>
          <w:color w:val="000000" w:themeColor="text1"/>
          <w:sz w:val="36"/>
        </w:rPr>
      </w:pPr>
    </w:p>
    <w:p w14:paraId="3EFA7A55" w14:textId="77777777" w:rsidR="008F2E78" w:rsidRPr="00C9196A" w:rsidRDefault="008F2E78">
      <w:pPr>
        <w:jc w:val="center"/>
        <w:rPr>
          <w:color w:val="000000" w:themeColor="text1"/>
          <w:sz w:val="36"/>
        </w:rPr>
      </w:pPr>
    </w:p>
    <w:p w14:paraId="2A33D3F7" w14:textId="0D402275" w:rsidR="008F2E78" w:rsidRPr="00C9196A" w:rsidRDefault="0045781E">
      <w:pPr>
        <w:jc w:val="center"/>
        <w:rPr>
          <w:color w:val="000000" w:themeColor="text1"/>
          <w:sz w:val="23"/>
          <w:szCs w:val="23"/>
        </w:rPr>
      </w:pPr>
      <w:r w:rsidRPr="00C9196A">
        <w:rPr>
          <w:color w:val="000000" w:themeColor="text1"/>
          <w:sz w:val="23"/>
          <w:szCs w:val="23"/>
        </w:rPr>
        <w:t xml:space="preserve">Drafted by the </w:t>
      </w:r>
    </w:p>
    <w:p w14:paraId="21577057" w14:textId="77777777" w:rsidR="008F2E78" w:rsidRPr="00C9196A" w:rsidRDefault="008F2E78">
      <w:pPr>
        <w:jc w:val="center"/>
        <w:rPr>
          <w:color w:val="000000" w:themeColor="text1"/>
          <w:sz w:val="23"/>
          <w:szCs w:val="23"/>
        </w:rPr>
      </w:pPr>
    </w:p>
    <w:p w14:paraId="327D89A1" w14:textId="77777777" w:rsidR="008F2E78" w:rsidRPr="00C9196A" w:rsidRDefault="008F2E78">
      <w:pPr>
        <w:jc w:val="center"/>
        <w:rPr>
          <w:color w:val="000000" w:themeColor="text1"/>
          <w:sz w:val="23"/>
        </w:rPr>
      </w:pPr>
    </w:p>
    <w:p w14:paraId="1515BF08" w14:textId="77777777" w:rsidR="008F2E78" w:rsidRPr="00C9196A" w:rsidRDefault="008F2E78">
      <w:pPr>
        <w:jc w:val="center"/>
        <w:rPr>
          <w:color w:val="000000" w:themeColor="text1"/>
          <w:sz w:val="23"/>
        </w:rPr>
      </w:pPr>
    </w:p>
    <w:p w14:paraId="7E4E4BB4" w14:textId="77777777" w:rsidR="008F2E78" w:rsidRPr="00C9196A" w:rsidRDefault="0045781E">
      <w:pPr>
        <w:jc w:val="center"/>
        <w:rPr>
          <w:color w:val="000000" w:themeColor="text1"/>
          <w:sz w:val="23"/>
        </w:rPr>
      </w:pPr>
      <w:r w:rsidRPr="00C9196A">
        <w:rPr>
          <w:color w:val="000000" w:themeColor="text1"/>
          <w:sz w:val="23"/>
        </w:rPr>
        <w:t>NATIONAL CONFERENCE OF COMMISSIONERS</w:t>
      </w:r>
      <w:r w:rsidRPr="00C9196A">
        <w:rPr>
          <w:color w:val="000000" w:themeColor="text1"/>
          <w:sz w:val="23"/>
          <w:szCs w:val="23"/>
        </w:rPr>
        <w:t xml:space="preserve"> </w:t>
      </w:r>
    </w:p>
    <w:p w14:paraId="1CBB2244" w14:textId="77777777" w:rsidR="008F2E78" w:rsidRPr="00C9196A" w:rsidRDefault="0045781E">
      <w:pPr>
        <w:jc w:val="center"/>
        <w:rPr>
          <w:color w:val="000000" w:themeColor="text1"/>
          <w:sz w:val="23"/>
        </w:rPr>
      </w:pPr>
      <w:r w:rsidRPr="00C9196A">
        <w:rPr>
          <w:color w:val="000000" w:themeColor="text1"/>
          <w:sz w:val="23"/>
        </w:rPr>
        <w:t>ON UNIFORM STATE LAWS</w:t>
      </w:r>
      <w:r w:rsidRPr="00C9196A">
        <w:rPr>
          <w:color w:val="000000" w:themeColor="text1"/>
          <w:sz w:val="23"/>
          <w:szCs w:val="23"/>
        </w:rPr>
        <w:t xml:space="preserve"> </w:t>
      </w:r>
    </w:p>
    <w:p w14:paraId="521E5781" w14:textId="1DFCF222" w:rsidR="008F2E78" w:rsidRPr="00C9196A" w:rsidRDefault="008F2E78">
      <w:pPr>
        <w:jc w:val="center"/>
        <w:rPr>
          <w:color w:val="000000" w:themeColor="text1"/>
          <w:sz w:val="23"/>
          <w:szCs w:val="23"/>
        </w:rPr>
      </w:pPr>
    </w:p>
    <w:p w14:paraId="710FD0AB" w14:textId="77777777" w:rsidR="008F2E78" w:rsidRPr="00C9196A" w:rsidRDefault="008F2E78">
      <w:pPr>
        <w:jc w:val="center"/>
        <w:rPr>
          <w:color w:val="000000" w:themeColor="text1"/>
          <w:sz w:val="23"/>
          <w:szCs w:val="23"/>
        </w:rPr>
      </w:pPr>
    </w:p>
    <w:p w14:paraId="06C5240A" w14:textId="77777777" w:rsidR="008F2E78" w:rsidRPr="00C9196A" w:rsidRDefault="008F2E78">
      <w:pPr>
        <w:jc w:val="center"/>
        <w:rPr>
          <w:color w:val="000000" w:themeColor="text1"/>
          <w:sz w:val="23"/>
          <w:szCs w:val="23"/>
        </w:rPr>
      </w:pPr>
    </w:p>
    <w:p w14:paraId="5404471C" w14:textId="77777777" w:rsidR="008F2E78" w:rsidRPr="00C9196A" w:rsidRDefault="0045781E">
      <w:pPr>
        <w:jc w:val="center"/>
        <w:rPr>
          <w:color w:val="000000" w:themeColor="text1"/>
          <w:sz w:val="23"/>
          <w:szCs w:val="23"/>
        </w:rPr>
      </w:pPr>
      <w:r w:rsidRPr="00C9196A">
        <w:rPr>
          <w:color w:val="000000" w:themeColor="text1"/>
          <w:sz w:val="23"/>
          <w:szCs w:val="23"/>
        </w:rPr>
        <w:t xml:space="preserve">and by it </w:t>
      </w:r>
    </w:p>
    <w:p w14:paraId="4328CED8" w14:textId="77777777" w:rsidR="008F2E78" w:rsidRPr="00C9196A" w:rsidRDefault="008F2E78">
      <w:pPr>
        <w:jc w:val="center"/>
        <w:rPr>
          <w:color w:val="000000" w:themeColor="text1"/>
          <w:sz w:val="23"/>
          <w:szCs w:val="23"/>
        </w:rPr>
      </w:pPr>
    </w:p>
    <w:p w14:paraId="0F940DDD" w14:textId="77777777" w:rsidR="008F2E78" w:rsidRPr="00C9196A" w:rsidRDefault="008F2E78">
      <w:pPr>
        <w:jc w:val="center"/>
        <w:rPr>
          <w:color w:val="000000" w:themeColor="text1"/>
          <w:sz w:val="23"/>
          <w:szCs w:val="23"/>
        </w:rPr>
      </w:pPr>
    </w:p>
    <w:p w14:paraId="3DE47F26" w14:textId="77777777" w:rsidR="008F2E78" w:rsidRPr="00C9196A" w:rsidRDefault="008F2E78">
      <w:pPr>
        <w:jc w:val="center"/>
        <w:rPr>
          <w:color w:val="000000" w:themeColor="text1"/>
          <w:sz w:val="23"/>
          <w:szCs w:val="23"/>
        </w:rPr>
      </w:pPr>
    </w:p>
    <w:p w14:paraId="01EEA090" w14:textId="77777777" w:rsidR="008F2E78" w:rsidRPr="00C9196A" w:rsidRDefault="0045781E">
      <w:pPr>
        <w:jc w:val="center"/>
        <w:rPr>
          <w:color w:val="000000" w:themeColor="text1"/>
          <w:sz w:val="23"/>
          <w:szCs w:val="23"/>
        </w:rPr>
      </w:pPr>
      <w:r w:rsidRPr="00C9196A">
        <w:rPr>
          <w:color w:val="000000" w:themeColor="text1"/>
          <w:sz w:val="23"/>
          <w:szCs w:val="23"/>
        </w:rPr>
        <w:t xml:space="preserve">APPROVED AND RECOMMENDED FOR ENACTMENT </w:t>
      </w:r>
    </w:p>
    <w:p w14:paraId="3A9259ED" w14:textId="77777777" w:rsidR="008F2E78" w:rsidRPr="00C9196A" w:rsidRDefault="0045781E">
      <w:pPr>
        <w:jc w:val="center"/>
        <w:rPr>
          <w:color w:val="000000" w:themeColor="text1"/>
          <w:sz w:val="23"/>
          <w:szCs w:val="23"/>
        </w:rPr>
      </w:pPr>
      <w:r w:rsidRPr="00C9196A">
        <w:rPr>
          <w:color w:val="000000" w:themeColor="text1"/>
          <w:sz w:val="23"/>
          <w:szCs w:val="23"/>
        </w:rPr>
        <w:t xml:space="preserve">IN ALL THE STATES </w:t>
      </w:r>
    </w:p>
    <w:p w14:paraId="1B90B9FC" w14:textId="77777777" w:rsidR="008F2E78" w:rsidRPr="00C9196A" w:rsidRDefault="008F2E78">
      <w:pPr>
        <w:jc w:val="center"/>
        <w:rPr>
          <w:color w:val="000000" w:themeColor="text1"/>
          <w:sz w:val="23"/>
          <w:szCs w:val="23"/>
        </w:rPr>
      </w:pPr>
    </w:p>
    <w:p w14:paraId="1A3BBDB5" w14:textId="77777777" w:rsidR="008F2E78" w:rsidRPr="00C9196A" w:rsidRDefault="008F2E78">
      <w:pPr>
        <w:jc w:val="center"/>
        <w:rPr>
          <w:color w:val="000000" w:themeColor="text1"/>
          <w:sz w:val="23"/>
          <w:szCs w:val="23"/>
        </w:rPr>
      </w:pPr>
    </w:p>
    <w:p w14:paraId="00E99556" w14:textId="77777777" w:rsidR="008F2E78" w:rsidRPr="00C9196A" w:rsidRDefault="008F2E78">
      <w:pPr>
        <w:jc w:val="center"/>
        <w:rPr>
          <w:color w:val="000000" w:themeColor="text1"/>
          <w:sz w:val="23"/>
          <w:szCs w:val="23"/>
        </w:rPr>
      </w:pPr>
    </w:p>
    <w:p w14:paraId="1C12A9C9" w14:textId="77777777" w:rsidR="008F2E78" w:rsidRPr="00C9196A" w:rsidRDefault="0045781E">
      <w:pPr>
        <w:jc w:val="center"/>
        <w:rPr>
          <w:color w:val="000000" w:themeColor="text1"/>
          <w:sz w:val="23"/>
          <w:szCs w:val="23"/>
        </w:rPr>
      </w:pPr>
      <w:r w:rsidRPr="00C9196A">
        <w:rPr>
          <w:color w:val="000000" w:themeColor="text1"/>
          <w:sz w:val="23"/>
          <w:szCs w:val="23"/>
        </w:rPr>
        <w:t xml:space="preserve">at its </w:t>
      </w:r>
    </w:p>
    <w:p w14:paraId="13083793" w14:textId="77777777" w:rsidR="008F2E78" w:rsidRPr="00C9196A" w:rsidRDefault="008F2E78">
      <w:pPr>
        <w:jc w:val="center"/>
        <w:rPr>
          <w:color w:val="000000" w:themeColor="text1"/>
          <w:sz w:val="23"/>
          <w:szCs w:val="23"/>
        </w:rPr>
      </w:pPr>
    </w:p>
    <w:p w14:paraId="3D48C02E" w14:textId="77777777" w:rsidR="008F2E78" w:rsidRPr="00C9196A" w:rsidRDefault="008F2E78">
      <w:pPr>
        <w:jc w:val="center"/>
        <w:rPr>
          <w:color w:val="000000" w:themeColor="text1"/>
          <w:sz w:val="23"/>
          <w:szCs w:val="23"/>
        </w:rPr>
      </w:pPr>
    </w:p>
    <w:p w14:paraId="2B0188A1" w14:textId="77777777" w:rsidR="008F2E78" w:rsidRPr="00C9196A" w:rsidRDefault="008F2E78">
      <w:pPr>
        <w:jc w:val="center"/>
        <w:rPr>
          <w:color w:val="000000" w:themeColor="text1"/>
          <w:sz w:val="23"/>
          <w:szCs w:val="23"/>
        </w:rPr>
      </w:pPr>
    </w:p>
    <w:p w14:paraId="74E35776" w14:textId="77777777" w:rsidR="008F2E78" w:rsidRPr="00C9196A" w:rsidRDefault="0045781E">
      <w:pPr>
        <w:jc w:val="center"/>
        <w:rPr>
          <w:color w:val="000000" w:themeColor="text1"/>
          <w:sz w:val="23"/>
          <w:szCs w:val="23"/>
        </w:rPr>
      </w:pPr>
      <w:r w:rsidRPr="00C9196A">
        <w:rPr>
          <w:color w:val="000000" w:themeColor="text1"/>
          <w:sz w:val="23"/>
          <w:szCs w:val="23"/>
        </w:rPr>
        <w:t xml:space="preserve">ANNUAL CONFERENCE </w:t>
      </w:r>
    </w:p>
    <w:p w14:paraId="509F34F0" w14:textId="77777777" w:rsidR="008F2E78" w:rsidRPr="00C9196A" w:rsidRDefault="0045781E">
      <w:pPr>
        <w:jc w:val="center"/>
        <w:rPr>
          <w:color w:val="000000" w:themeColor="text1"/>
          <w:sz w:val="23"/>
          <w:szCs w:val="23"/>
        </w:rPr>
      </w:pPr>
      <w:r w:rsidRPr="00C9196A">
        <w:rPr>
          <w:color w:val="000000" w:themeColor="text1"/>
          <w:sz w:val="23"/>
          <w:szCs w:val="23"/>
        </w:rPr>
        <w:t xml:space="preserve">MEETING IN ITS ONE-HUNDRED-AND-TWENTY-SEVENTH YEAR </w:t>
      </w:r>
    </w:p>
    <w:p w14:paraId="06BECAC2" w14:textId="77777777" w:rsidR="008F2E78" w:rsidRPr="00C9196A" w:rsidRDefault="0045781E">
      <w:pPr>
        <w:jc w:val="center"/>
        <w:rPr>
          <w:color w:val="000000" w:themeColor="text1"/>
          <w:sz w:val="23"/>
          <w:szCs w:val="23"/>
        </w:rPr>
      </w:pPr>
      <w:r w:rsidRPr="00C9196A">
        <w:rPr>
          <w:color w:val="000000" w:themeColor="text1"/>
          <w:sz w:val="23"/>
          <w:szCs w:val="23"/>
        </w:rPr>
        <w:t>LOUISVILLE, KENTUCKY</w:t>
      </w:r>
    </w:p>
    <w:p w14:paraId="607539B5" w14:textId="77777777" w:rsidR="008F2E78" w:rsidRPr="00C9196A" w:rsidRDefault="0045781E">
      <w:pPr>
        <w:jc w:val="center"/>
        <w:rPr>
          <w:color w:val="000000" w:themeColor="text1"/>
          <w:sz w:val="23"/>
          <w:szCs w:val="23"/>
        </w:rPr>
      </w:pPr>
      <w:r w:rsidRPr="00C9196A">
        <w:rPr>
          <w:color w:val="000000" w:themeColor="text1"/>
          <w:sz w:val="23"/>
          <w:szCs w:val="23"/>
        </w:rPr>
        <w:t xml:space="preserve">JULY 20 - JULY 26, 2018 </w:t>
      </w:r>
    </w:p>
    <w:p w14:paraId="0C33CEAA" w14:textId="77777777" w:rsidR="008F2E78" w:rsidRPr="00C9196A" w:rsidRDefault="008F2E78">
      <w:pPr>
        <w:jc w:val="center"/>
        <w:rPr>
          <w:color w:val="000000" w:themeColor="text1"/>
          <w:sz w:val="23"/>
          <w:szCs w:val="23"/>
        </w:rPr>
      </w:pPr>
    </w:p>
    <w:p w14:paraId="3A8C178A" w14:textId="77777777" w:rsidR="008F2E78" w:rsidRPr="00C9196A" w:rsidRDefault="008F2E78">
      <w:pPr>
        <w:jc w:val="center"/>
        <w:rPr>
          <w:color w:val="000000" w:themeColor="text1"/>
          <w:sz w:val="23"/>
          <w:szCs w:val="23"/>
        </w:rPr>
      </w:pPr>
    </w:p>
    <w:p w14:paraId="2B6FE36C" w14:textId="77777777" w:rsidR="008F2E78" w:rsidRPr="00C9196A" w:rsidRDefault="008F2E78">
      <w:pPr>
        <w:jc w:val="center"/>
        <w:rPr>
          <w:color w:val="000000" w:themeColor="text1"/>
          <w:sz w:val="23"/>
          <w:szCs w:val="23"/>
        </w:rPr>
      </w:pPr>
    </w:p>
    <w:p w14:paraId="7E747B59" w14:textId="535F8653" w:rsidR="008F2E78" w:rsidRPr="00C9196A" w:rsidRDefault="0045781E">
      <w:pPr>
        <w:jc w:val="center"/>
        <w:rPr>
          <w:color w:val="000000" w:themeColor="text1"/>
          <w:sz w:val="23"/>
          <w:szCs w:val="23"/>
        </w:rPr>
      </w:pPr>
      <w:r w:rsidRPr="00C9196A">
        <w:rPr>
          <w:i/>
          <w:iCs/>
          <w:color w:val="000000" w:themeColor="text1"/>
          <w:sz w:val="23"/>
          <w:szCs w:val="23"/>
        </w:rPr>
        <w:t>WITH</w:t>
      </w:r>
      <w:r w:rsidR="006657F0">
        <w:rPr>
          <w:i/>
          <w:iCs/>
          <w:color w:val="000000" w:themeColor="text1"/>
          <w:sz w:val="23"/>
          <w:szCs w:val="23"/>
        </w:rPr>
        <w:t>OUT</w:t>
      </w:r>
      <w:bookmarkStart w:id="2" w:name="_GoBack"/>
      <w:bookmarkEnd w:id="2"/>
      <w:r w:rsidRPr="00C9196A">
        <w:rPr>
          <w:i/>
          <w:iCs/>
          <w:color w:val="000000" w:themeColor="text1"/>
          <w:sz w:val="23"/>
          <w:szCs w:val="23"/>
        </w:rPr>
        <w:t xml:space="preserve"> PREFATORY NOTE AND COMMENTS </w:t>
      </w:r>
    </w:p>
    <w:p w14:paraId="55AD12B9" w14:textId="77777777" w:rsidR="008F2E78" w:rsidRPr="00C9196A" w:rsidRDefault="008F2E78">
      <w:pPr>
        <w:jc w:val="center"/>
        <w:rPr>
          <w:color w:val="000000" w:themeColor="text1"/>
          <w:sz w:val="23"/>
          <w:szCs w:val="23"/>
        </w:rPr>
      </w:pPr>
    </w:p>
    <w:p w14:paraId="6BB413C1" w14:textId="77777777" w:rsidR="008F2E78" w:rsidRPr="00C9196A" w:rsidRDefault="008F2E78">
      <w:pPr>
        <w:jc w:val="center"/>
        <w:rPr>
          <w:color w:val="000000" w:themeColor="text1"/>
          <w:sz w:val="23"/>
          <w:szCs w:val="23"/>
        </w:rPr>
      </w:pPr>
    </w:p>
    <w:p w14:paraId="7666B711" w14:textId="77777777" w:rsidR="008F2E78" w:rsidRPr="00C9196A" w:rsidRDefault="008F2E78">
      <w:pPr>
        <w:jc w:val="center"/>
        <w:rPr>
          <w:color w:val="000000" w:themeColor="text1"/>
          <w:sz w:val="23"/>
          <w:szCs w:val="23"/>
        </w:rPr>
      </w:pPr>
    </w:p>
    <w:p w14:paraId="5D89ED00" w14:textId="77777777" w:rsidR="008F2E78" w:rsidRPr="00C9196A" w:rsidRDefault="0045781E">
      <w:pPr>
        <w:jc w:val="center"/>
        <w:rPr>
          <w:color w:val="000000" w:themeColor="text1"/>
          <w:sz w:val="23"/>
        </w:rPr>
      </w:pPr>
      <w:r w:rsidRPr="00C9196A">
        <w:rPr>
          <w:color w:val="000000" w:themeColor="text1"/>
          <w:sz w:val="23"/>
          <w:szCs w:val="23"/>
        </w:rPr>
        <w:t>COPYRIGHT</w:t>
      </w:r>
      <w:r w:rsidRPr="00C9196A">
        <w:rPr>
          <w:color w:val="000000" w:themeColor="text1"/>
          <w:sz w:val="23"/>
        </w:rPr>
        <w:t xml:space="preserve"> © 2018</w:t>
      </w:r>
    </w:p>
    <w:p w14:paraId="0F561383" w14:textId="77777777" w:rsidR="008F2E78" w:rsidRPr="00C9196A" w:rsidRDefault="0045781E">
      <w:pPr>
        <w:jc w:val="center"/>
        <w:rPr>
          <w:color w:val="000000" w:themeColor="text1"/>
          <w:sz w:val="23"/>
        </w:rPr>
      </w:pPr>
      <w:r w:rsidRPr="00C9196A">
        <w:rPr>
          <w:color w:val="000000" w:themeColor="text1"/>
          <w:sz w:val="23"/>
        </w:rPr>
        <w:t>By</w:t>
      </w:r>
      <w:r w:rsidRPr="00C9196A">
        <w:rPr>
          <w:color w:val="000000" w:themeColor="text1"/>
          <w:sz w:val="23"/>
          <w:szCs w:val="23"/>
        </w:rPr>
        <w:t xml:space="preserve"> </w:t>
      </w:r>
    </w:p>
    <w:p w14:paraId="74373B63" w14:textId="77777777" w:rsidR="008F2E78" w:rsidRPr="00C9196A" w:rsidRDefault="0045781E">
      <w:pPr>
        <w:jc w:val="center"/>
        <w:rPr>
          <w:color w:val="000000" w:themeColor="text1"/>
          <w:sz w:val="23"/>
        </w:rPr>
      </w:pPr>
      <w:r w:rsidRPr="00C9196A">
        <w:rPr>
          <w:color w:val="000000" w:themeColor="text1"/>
          <w:sz w:val="23"/>
        </w:rPr>
        <w:t>NATIONAL CONFERENCE OF COMMISSIONERS</w:t>
      </w:r>
      <w:r w:rsidRPr="00C9196A">
        <w:rPr>
          <w:color w:val="000000" w:themeColor="text1"/>
          <w:sz w:val="23"/>
          <w:szCs w:val="23"/>
        </w:rPr>
        <w:t xml:space="preserve"> </w:t>
      </w:r>
    </w:p>
    <w:p w14:paraId="05EE4B04" w14:textId="77777777" w:rsidR="008F2E78" w:rsidRPr="00C9196A" w:rsidRDefault="0045781E">
      <w:pPr>
        <w:jc w:val="center"/>
        <w:rPr>
          <w:color w:val="000000" w:themeColor="text1"/>
          <w:sz w:val="23"/>
        </w:rPr>
      </w:pPr>
      <w:r w:rsidRPr="00C9196A">
        <w:rPr>
          <w:color w:val="000000" w:themeColor="text1"/>
          <w:sz w:val="23"/>
        </w:rPr>
        <w:t>ON UNIFORM STATE LAWS</w:t>
      </w:r>
      <w:r w:rsidRPr="00C9196A">
        <w:rPr>
          <w:color w:val="000000" w:themeColor="text1"/>
          <w:sz w:val="23"/>
          <w:szCs w:val="23"/>
        </w:rPr>
        <w:t xml:space="preserve"> </w:t>
      </w:r>
    </w:p>
    <w:p w14:paraId="21C08A48" w14:textId="77777777" w:rsidR="008F2E78" w:rsidRPr="00C9196A" w:rsidRDefault="008F2E78" w:rsidP="001110F1">
      <w:pPr>
        <w:jc w:val="right"/>
        <w:rPr>
          <w:color w:val="000000" w:themeColor="text1"/>
          <w:sz w:val="20"/>
        </w:rPr>
      </w:pPr>
    </w:p>
    <w:p w14:paraId="7285BDFA" w14:textId="0D81D9E3" w:rsidR="008F2E78" w:rsidRPr="00C9196A" w:rsidRDefault="00D5014B">
      <w:pPr>
        <w:jc w:val="right"/>
        <w:rPr>
          <w:color w:val="000000" w:themeColor="text1"/>
          <w:sz w:val="20"/>
          <w:szCs w:val="20"/>
        </w:rPr>
      </w:pPr>
      <w:r>
        <w:rPr>
          <w:color w:val="000000" w:themeColor="text1"/>
          <w:sz w:val="20"/>
          <w:szCs w:val="20"/>
        </w:rPr>
        <w:t xml:space="preserve">October </w:t>
      </w:r>
      <w:r w:rsidR="000830EB">
        <w:rPr>
          <w:color w:val="000000" w:themeColor="text1"/>
          <w:sz w:val="20"/>
          <w:szCs w:val="20"/>
        </w:rPr>
        <w:t>2</w:t>
      </w:r>
      <w:r w:rsidR="0045781E" w:rsidRPr="00C9196A">
        <w:rPr>
          <w:color w:val="000000" w:themeColor="text1"/>
          <w:sz w:val="20"/>
          <w:szCs w:val="20"/>
        </w:rPr>
        <w:t>, 2018</w:t>
      </w:r>
    </w:p>
    <w:p w14:paraId="0FD60726" w14:textId="77777777" w:rsidR="008F2E78" w:rsidRPr="00332F77" w:rsidRDefault="008F2E78" w:rsidP="00B30103">
      <w:pPr>
        <w:jc w:val="center"/>
        <w:rPr>
          <w:color w:val="000000" w:themeColor="text1"/>
          <w:sz w:val="20"/>
        </w:rPr>
      </w:pPr>
    </w:p>
    <w:bookmarkEnd w:id="0"/>
    <w:p w14:paraId="20DD02DD" w14:textId="3D020BB9" w:rsidR="001110F1" w:rsidRPr="00B30103" w:rsidRDefault="001110F1" w:rsidP="00B30103">
      <w:pPr>
        <w:rPr>
          <w:color w:val="000000" w:themeColor="text1"/>
          <w:sz w:val="20"/>
        </w:rPr>
        <w:sectPr w:rsidR="001110F1" w:rsidRPr="00B30103">
          <w:pgSz w:w="12240" w:h="15840"/>
          <w:pgMar w:top="1440" w:right="1440" w:bottom="1440" w:left="1440" w:header="708" w:footer="708" w:gutter="0"/>
          <w:cols w:space="708"/>
        </w:sectPr>
      </w:pPr>
    </w:p>
    <w:p w14:paraId="54F7C9C7" w14:textId="77777777" w:rsidR="008F2E78" w:rsidRPr="00332F77" w:rsidRDefault="0045781E" w:rsidP="00B30103">
      <w:pPr>
        <w:widowControl w:val="0"/>
        <w:ind w:right="101"/>
        <w:jc w:val="center"/>
        <w:rPr>
          <w:color w:val="000000" w:themeColor="text1"/>
        </w:rPr>
      </w:pPr>
      <w:r w:rsidRPr="00332F77">
        <w:rPr>
          <w:b/>
          <w:color w:val="000000" w:themeColor="text1"/>
        </w:rPr>
        <w:lastRenderedPageBreak/>
        <w:t>UNIFORM SUPPLEMENTAL COMMERCIAL LAW FOR THE UNIFORM REGULATION OF VIRTUAL-CURRENCY BUSINESSES ACT</w:t>
      </w:r>
    </w:p>
    <w:p w14:paraId="4104CD02" w14:textId="77777777" w:rsidR="008F2E78" w:rsidRPr="00332F77" w:rsidRDefault="0045781E">
      <w:pPr>
        <w:widowControl w:val="0"/>
        <w:jc w:val="both"/>
        <w:rPr>
          <w:color w:val="000000" w:themeColor="text1"/>
        </w:rPr>
      </w:pPr>
      <w:bookmarkStart w:id="3" w:name="_Toc463271466"/>
      <w:bookmarkStart w:id="4" w:name="_Toc485825642"/>
      <w:r w:rsidRPr="00332F77">
        <w:rPr>
          <w:color w:val="000000" w:themeColor="text1"/>
        </w:rPr>
        <w:tab/>
      </w:r>
    </w:p>
    <w:p w14:paraId="70399DEA" w14:textId="77777777" w:rsidR="008F2E78" w:rsidRPr="00332F77" w:rsidRDefault="0045781E" w:rsidP="000413E9">
      <w:pPr>
        <w:spacing w:line="480" w:lineRule="auto"/>
      </w:pPr>
      <w:r w:rsidRPr="00332F77">
        <w:tab/>
      </w:r>
      <w:bookmarkStart w:id="5" w:name="_Toc493940953"/>
      <w:bookmarkStart w:id="6" w:name="_Toc521400055"/>
      <w:bookmarkStart w:id="7" w:name="_Toc526244489"/>
      <w:r w:rsidRPr="000413E9">
        <w:rPr>
          <w:rStyle w:val="Heading1Char"/>
        </w:rPr>
        <w:t>SECTION 1.  SHORT TITLE.</w:t>
      </w:r>
      <w:bookmarkEnd w:id="3"/>
      <w:bookmarkEnd w:id="4"/>
      <w:bookmarkEnd w:id="5"/>
      <w:bookmarkEnd w:id="6"/>
      <w:bookmarkEnd w:id="7"/>
      <w:r w:rsidRPr="00332F77">
        <w:rPr>
          <w:spacing w:val="59"/>
        </w:rPr>
        <w:t xml:space="preserve">  </w:t>
      </w:r>
      <w:r w:rsidRPr="00332F77">
        <w:t>This [act] may be</w:t>
      </w:r>
      <w:r w:rsidRPr="00332F77">
        <w:rPr>
          <w:spacing w:val="1"/>
        </w:rPr>
        <w:t xml:space="preserve"> </w:t>
      </w:r>
      <w:r w:rsidRPr="00332F77">
        <w:t xml:space="preserve">cited as the Uniform Supplemental Commercial Law for the Uniform Regulation of Virtual-Currency Businesses Act. </w:t>
      </w:r>
    </w:p>
    <w:p w14:paraId="6D6C1231" w14:textId="77777777" w:rsidR="008F2E78" w:rsidRPr="000413E9" w:rsidRDefault="0045781E" w:rsidP="000413E9">
      <w:pPr>
        <w:pStyle w:val="Heading1"/>
      </w:pPr>
      <w:r w:rsidRPr="00332F77">
        <w:t xml:space="preserve"> </w:t>
      </w:r>
      <w:bookmarkStart w:id="8" w:name="_Toc463271468"/>
      <w:bookmarkStart w:id="9" w:name="_Toc485825643"/>
      <w:bookmarkStart w:id="10" w:name="_Toc493940954"/>
      <w:r w:rsidRPr="00332F77">
        <w:tab/>
      </w:r>
      <w:bookmarkStart w:id="11" w:name="_Toc521400056"/>
      <w:bookmarkStart w:id="12" w:name="_Toc526244490"/>
      <w:r w:rsidRPr="000413E9">
        <w:t>SECTION 2.  DEFINITIONS.</w:t>
      </w:r>
      <w:bookmarkEnd w:id="8"/>
      <w:bookmarkEnd w:id="9"/>
      <w:bookmarkEnd w:id="10"/>
      <w:bookmarkEnd w:id="11"/>
      <w:bookmarkEnd w:id="12"/>
      <w:r w:rsidRPr="000413E9">
        <w:t xml:space="preserve">  </w:t>
      </w:r>
    </w:p>
    <w:p w14:paraId="6602C920" w14:textId="77777777" w:rsidR="008F2E78" w:rsidRPr="00332F77" w:rsidRDefault="0045781E">
      <w:pPr>
        <w:widowControl w:val="0"/>
        <w:spacing w:line="480" w:lineRule="auto"/>
        <w:ind w:firstLine="720"/>
        <w:rPr>
          <w:color w:val="000000" w:themeColor="text1"/>
        </w:rPr>
      </w:pPr>
      <w:r w:rsidRPr="00332F77">
        <w:rPr>
          <w:color w:val="000000" w:themeColor="text1"/>
        </w:rPr>
        <w:t>(a) In this [act]:</w:t>
      </w:r>
    </w:p>
    <w:p w14:paraId="13EABD0D" w14:textId="11F27F04" w:rsidR="008F2E78" w:rsidRPr="0047419C" w:rsidRDefault="0045781E">
      <w:pPr>
        <w:widowControl w:val="0"/>
        <w:spacing w:line="480" w:lineRule="auto"/>
        <w:ind w:firstLine="720"/>
        <w:rPr>
          <w:color w:val="000000" w:themeColor="text1"/>
        </w:rPr>
      </w:pPr>
      <w:r w:rsidRPr="00332F77">
        <w:rPr>
          <w:color w:val="000000" w:themeColor="text1"/>
        </w:rPr>
        <w:tab/>
        <w:t>(1) “Article 8” means Article 8 of the Uniform Commercial Code</w:t>
      </w:r>
      <w:r w:rsidR="00C748E3">
        <w:rPr>
          <w:color w:val="000000" w:themeColor="text1"/>
        </w:rPr>
        <w:t xml:space="preserve"> </w:t>
      </w:r>
      <w:r w:rsidRPr="00332F77">
        <w:rPr>
          <w:color w:val="000000" w:themeColor="text1"/>
        </w:rPr>
        <w:t>[,</w:t>
      </w:r>
      <w:r w:rsidR="004E08D1" w:rsidRPr="00C9196A">
        <w:rPr>
          <w:color w:val="000000" w:themeColor="text1"/>
        </w:rPr>
        <w:t xml:space="preserve"> </w:t>
      </w:r>
      <w:r w:rsidRPr="00332F77">
        <w:rPr>
          <w:color w:val="000000" w:themeColor="text1"/>
        </w:rPr>
        <w:t>as amended], in substantially the form approved by the American Law Institute and the National Conference of Commissioners on Uniform State Laws.</w:t>
      </w:r>
    </w:p>
    <w:p w14:paraId="2F6348D5" w14:textId="5C98C7DB" w:rsidR="008F2E78" w:rsidRPr="00332F77" w:rsidRDefault="0045781E">
      <w:pPr>
        <w:widowControl w:val="0"/>
        <w:spacing w:line="480" w:lineRule="auto"/>
        <w:ind w:firstLine="720"/>
        <w:rPr>
          <w:color w:val="000000" w:themeColor="text1"/>
        </w:rPr>
      </w:pPr>
      <w:r w:rsidRPr="00332F77">
        <w:rPr>
          <w:color w:val="000000" w:themeColor="text1"/>
        </w:rPr>
        <w:t xml:space="preserve"> </w:t>
      </w:r>
      <w:r w:rsidRPr="00332F77">
        <w:rPr>
          <w:color w:val="000000" w:themeColor="text1"/>
        </w:rPr>
        <w:tab/>
        <w:t>(2) “Control” has the meaning provided in</w:t>
      </w:r>
      <w:r w:rsidRPr="00C9196A">
        <w:rPr>
          <w:color w:val="000000" w:themeColor="text1"/>
        </w:rPr>
        <w:t xml:space="preserve"> </w:t>
      </w:r>
      <w:r w:rsidRPr="00332F77">
        <w:rPr>
          <w:color w:val="000000" w:themeColor="text1"/>
        </w:rPr>
        <w:t xml:space="preserve">[insert citation to Section 102(3)(A) of </w:t>
      </w:r>
      <w:r w:rsidRPr="0047419C">
        <w:rPr>
          <w:color w:val="000000" w:themeColor="text1"/>
        </w:rPr>
        <w:t xml:space="preserve">the </w:t>
      </w:r>
      <w:r w:rsidRPr="00332F77">
        <w:rPr>
          <w:color w:val="000000" w:themeColor="text1"/>
        </w:rPr>
        <w:t>Uniform Regulation of Virtual-Currency Businesses Act].</w:t>
      </w:r>
    </w:p>
    <w:p w14:paraId="0EEDD432" w14:textId="77777777" w:rsidR="008F2E78" w:rsidRPr="00332F77" w:rsidRDefault="0045781E">
      <w:pPr>
        <w:widowControl w:val="0"/>
        <w:spacing w:line="480" w:lineRule="auto"/>
        <w:ind w:firstLine="720"/>
        <w:rPr>
          <w:color w:val="000000" w:themeColor="text1"/>
        </w:rPr>
      </w:pPr>
      <w:r w:rsidRPr="00332F77">
        <w:rPr>
          <w:color w:val="000000" w:themeColor="text1"/>
        </w:rPr>
        <w:tab/>
        <w:t>(3) “Hague Securities Convention” means the Convention on the Law Applicable to Certain Rights in Respect of Securities Held with an Intermediary, concluded 5 July 2006.</w:t>
      </w:r>
    </w:p>
    <w:p w14:paraId="54F23A36" w14:textId="583C2FF9" w:rsidR="008F2E78" w:rsidRPr="00332F77" w:rsidRDefault="0045781E">
      <w:pPr>
        <w:widowControl w:val="0"/>
        <w:spacing w:line="480" w:lineRule="auto"/>
        <w:rPr>
          <w:color w:val="000000" w:themeColor="text1"/>
        </w:rPr>
      </w:pPr>
      <w:r w:rsidRPr="00332F77">
        <w:rPr>
          <w:color w:val="000000" w:themeColor="text1"/>
        </w:rPr>
        <w:tab/>
      </w:r>
      <w:r w:rsidRPr="00332F77">
        <w:rPr>
          <w:color w:val="000000" w:themeColor="text1"/>
        </w:rPr>
        <w:tab/>
        <w:t>(4) “Uniform Commercial Code jurisdiction” means a state that has enacted Article 8.</w:t>
      </w:r>
    </w:p>
    <w:p w14:paraId="6BAFFE5C" w14:textId="6C380E99" w:rsidR="008F2E78" w:rsidRPr="00332F77" w:rsidRDefault="0045781E">
      <w:pPr>
        <w:widowControl w:val="0"/>
        <w:spacing w:line="480" w:lineRule="auto"/>
        <w:rPr>
          <w:color w:val="000000" w:themeColor="text1"/>
        </w:rPr>
      </w:pPr>
      <w:r w:rsidRPr="00332F77">
        <w:rPr>
          <w:color w:val="000000" w:themeColor="text1"/>
        </w:rPr>
        <w:tab/>
      </w:r>
      <w:r w:rsidRPr="00332F77">
        <w:rPr>
          <w:color w:val="000000" w:themeColor="text1"/>
        </w:rPr>
        <w:tab/>
        <w:t>(5) “Uniform Regulation of Virtual-Currency Businesses Act” means</w:t>
      </w:r>
      <w:r w:rsidRPr="00332F77">
        <w:rPr>
          <w:color w:val="000000" w:themeColor="text1"/>
          <w:spacing w:val="2"/>
        </w:rPr>
        <w:t xml:space="preserve"> [insert citation to </w:t>
      </w:r>
      <w:r w:rsidR="004E08D1" w:rsidRPr="00C9196A">
        <w:rPr>
          <w:color w:val="000000" w:themeColor="text1"/>
          <w:spacing w:val="2"/>
        </w:rPr>
        <w:t xml:space="preserve">the </w:t>
      </w:r>
      <w:r w:rsidRPr="0047419C">
        <w:rPr>
          <w:color w:val="000000" w:themeColor="text1"/>
          <w:spacing w:val="2"/>
        </w:rPr>
        <w:t>Uniform Regulation of Virtual-Currency Businesses Act].</w:t>
      </w:r>
    </w:p>
    <w:p w14:paraId="59BDF9F8" w14:textId="77777777" w:rsidR="008F2E78" w:rsidRPr="00332F77" w:rsidRDefault="0045781E">
      <w:pPr>
        <w:widowControl w:val="0"/>
        <w:spacing w:line="480" w:lineRule="auto"/>
        <w:rPr>
          <w:color w:val="000000" w:themeColor="text1"/>
        </w:rPr>
      </w:pPr>
      <w:r w:rsidRPr="00332F77">
        <w:rPr>
          <w:color w:val="000000" w:themeColor="text1"/>
        </w:rPr>
        <w:tab/>
      </w:r>
      <w:r w:rsidRPr="00332F77">
        <w:rPr>
          <w:color w:val="000000" w:themeColor="text1"/>
        </w:rPr>
        <w:tab/>
      </w:r>
      <w:r w:rsidRPr="00332F77">
        <w:rPr>
          <w:color w:val="000000" w:themeColor="text1"/>
          <w:spacing w:val="2"/>
        </w:rPr>
        <w:t>(6) “User” means a person for which a licensee or registrant has control of virtual currency.</w:t>
      </w:r>
    </w:p>
    <w:p w14:paraId="682B8452" w14:textId="159FEBB9" w:rsidR="008F2E78" w:rsidRPr="00332F77" w:rsidRDefault="0045781E">
      <w:pPr>
        <w:widowControl w:val="0"/>
        <w:spacing w:line="480" w:lineRule="auto"/>
        <w:rPr>
          <w:color w:val="000000" w:themeColor="text1"/>
        </w:rPr>
      </w:pPr>
      <w:r w:rsidRPr="00332F77">
        <w:rPr>
          <w:color w:val="000000" w:themeColor="text1"/>
        </w:rPr>
        <w:tab/>
        <w:t xml:space="preserve">(b) Other definitions </w:t>
      </w:r>
      <w:r w:rsidR="004E08D1" w:rsidRPr="00C9196A">
        <w:rPr>
          <w:color w:val="000000" w:themeColor="text1"/>
        </w:rPr>
        <w:t>applying</w:t>
      </w:r>
      <w:r w:rsidRPr="0047419C">
        <w:rPr>
          <w:color w:val="000000" w:themeColor="text1"/>
        </w:rPr>
        <w:t xml:space="preserve"> to this [act] </w:t>
      </w:r>
      <w:r w:rsidRPr="00332F77">
        <w:rPr>
          <w:color w:val="000000" w:themeColor="text1"/>
        </w:rPr>
        <w:t>and the sections of the Uniform Regulation of Virtual-Currency Businesses Act in which they appear are:</w:t>
      </w:r>
    </w:p>
    <w:p w14:paraId="688026D6" w14:textId="3C23D44A" w:rsidR="008F2E78" w:rsidRPr="0047419C" w:rsidRDefault="0045781E">
      <w:pPr>
        <w:widowControl w:val="0"/>
        <w:spacing w:line="480" w:lineRule="auto"/>
        <w:rPr>
          <w:color w:val="000000" w:themeColor="text1"/>
        </w:rPr>
      </w:pPr>
      <w:r w:rsidRPr="0047419C">
        <w:rPr>
          <w:color w:val="000000" w:themeColor="text1"/>
        </w:rPr>
        <w:tab/>
        <w:t>“Licensee”. Section 102(9).</w:t>
      </w:r>
    </w:p>
    <w:p w14:paraId="175ED2E9" w14:textId="61C4B46A" w:rsidR="008F2E78" w:rsidRPr="0047419C" w:rsidRDefault="0045781E">
      <w:pPr>
        <w:widowControl w:val="0"/>
        <w:spacing w:line="480" w:lineRule="auto"/>
        <w:rPr>
          <w:color w:val="000000" w:themeColor="text1"/>
        </w:rPr>
      </w:pPr>
      <w:r w:rsidRPr="0047419C">
        <w:rPr>
          <w:color w:val="000000" w:themeColor="text1"/>
        </w:rPr>
        <w:tab/>
        <w:t>“Person”. Section 102(10).</w:t>
      </w:r>
    </w:p>
    <w:p w14:paraId="2BCDEF17" w14:textId="05BE4ED9" w:rsidR="008F2E78" w:rsidRPr="0047419C" w:rsidRDefault="0045781E">
      <w:pPr>
        <w:widowControl w:val="0"/>
        <w:spacing w:line="480" w:lineRule="auto"/>
        <w:rPr>
          <w:color w:val="000000" w:themeColor="text1"/>
        </w:rPr>
      </w:pPr>
      <w:r w:rsidRPr="0047419C">
        <w:rPr>
          <w:color w:val="000000" w:themeColor="text1"/>
        </w:rPr>
        <w:tab/>
        <w:t>“Record”. Section 102(12).</w:t>
      </w:r>
      <w:r w:rsidRPr="00C9196A">
        <w:rPr>
          <w:color w:val="000000" w:themeColor="text1"/>
        </w:rPr>
        <w:t xml:space="preserve"> </w:t>
      </w:r>
    </w:p>
    <w:p w14:paraId="165A12E9" w14:textId="6202DEF6" w:rsidR="008F2E78" w:rsidRPr="0047419C" w:rsidRDefault="0045781E">
      <w:pPr>
        <w:widowControl w:val="0"/>
        <w:spacing w:line="480" w:lineRule="auto"/>
        <w:rPr>
          <w:color w:val="000000" w:themeColor="text1"/>
        </w:rPr>
      </w:pPr>
      <w:r w:rsidRPr="0047419C">
        <w:rPr>
          <w:color w:val="000000" w:themeColor="text1"/>
        </w:rPr>
        <w:lastRenderedPageBreak/>
        <w:tab/>
        <w:t>“Registrant”. Section 102(13).</w:t>
      </w:r>
      <w:r w:rsidRPr="00C9196A">
        <w:rPr>
          <w:color w:val="000000" w:themeColor="text1"/>
        </w:rPr>
        <w:t xml:space="preserve"> </w:t>
      </w:r>
    </w:p>
    <w:p w14:paraId="1894280C" w14:textId="11D087CA" w:rsidR="008F2E78" w:rsidRPr="0047419C" w:rsidRDefault="0045781E">
      <w:pPr>
        <w:widowControl w:val="0"/>
        <w:spacing w:line="480" w:lineRule="auto"/>
        <w:rPr>
          <w:color w:val="000000" w:themeColor="text1"/>
        </w:rPr>
      </w:pPr>
      <w:r w:rsidRPr="0047419C">
        <w:rPr>
          <w:color w:val="000000" w:themeColor="text1"/>
        </w:rPr>
        <w:tab/>
        <w:t>“Resident”. Section 102(16).</w:t>
      </w:r>
      <w:r w:rsidRPr="00C9196A">
        <w:rPr>
          <w:color w:val="000000" w:themeColor="text1"/>
        </w:rPr>
        <w:t xml:space="preserve"> </w:t>
      </w:r>
    </w:p>
    <w:p w14:paraId="06D11F11" w14:textId="07297C21" w:rsidR="008F2E78" w:rsidRPr="0047419C" w:rsidRDefault="0045781E">
      <w:pPr>
        <w:widowControl w:val="0"/>
        <w:spacing w:line="480" w:lineRule="auto"/>
        <w:rPr>
          <w:color w:val="000000" w:themeColor="text1"/>
        </w:rPr>
      </w:pPr>
      <w:r w:rsidRPr="0047419C">
        <w:rPr>
          <w:color w:val="000000" w:themeColor="text1"/>
        </w:rPr>
        <w:tab/>
        <w:t>“Sign”. Section 102(18).</w:t>
      </w:r>
      <w:r w:rsidRPr="00C9196A">
        <w:rPr>
          <w:color w:val="000000" w:themeColor="text1"/>
        </w:rPr>
        <w:t xml:space="preserve"> </w:t>
      </w:r>
    </w:p>
    <w:p w14:paraId="1FA18653" w14:textId="51638814" w:rsidR="008F2E78" w:rsidRPr="0047419C" w:rsidRDefault="0045781E">
      <w:pPr>
        <w:widowControl w:val="0"/>
        <w:spacing w:line="480" w:lineRule="auto"/>
        <w:rPr>
          <w:color w:val="000000" w:themeColor="text1"/>
        </w:rPr>
      </w:pPr>
      <w:r w:rsidRPr="0047419C">
        <w:rPr>
          <w:color w:val="000000" w:themeColor="text1"/>
        </w:rPr>
        <w:tab/>
        <w:t>“State”. Section 102(19).</w:t>
      </w:r>
      <w:r w:rsidRPr="00C9196A">
        <w:rPr>
          <w:color w:val="000000" w:themeColor="text1"/>
        </w:rPr>
        <w:t xml:space="preserve"> </w:t>
      </w:r>
    </w:p>
    <w:p w14:paraId="12AAEC02" w14:textId="2320CB4B" w:rsidR="008F2E78" w:rsidRPr="0047419C" w:rsidRDefault="0045781E">
      <w:pPr>
        <w:widowControl w:val="0"/>
        <w:spacing w:line="480" w:lineRule="auto"/>
        <w:rPr>
          <w:color w:val="000000" w:themeColor="text1"/>
        </w:rPr>
      </w:pPr>
      <w:r w:rsidRPr="0047419C">
        <w:rPr>
          <w:color w:val="000000" w:themeColor="text1"/>
        </w:rPr>
        <w:tab/>
        <w:t>“Virtual currency</w:t>
      </w:r>
      <w:r w:rsidRPr="00C9196A">
        <w:rPr>
          <w:color w:val="000000" w:themeColor="text1"/>
        </w:rPr>
        <w:t>”.</w:t>
      </w:r>
      <w:r w:rsidRPr="0047419C">
        <w:rPr>
          <w:color w:val="000000" w:themeColor="text1"/>
        </w:rPr>
        <w:t xml:space="preserve"> Section 102(23).</w:t>
      </w:r>
      <w:r w:rsidRPr="00C9196A">
        <w:rPr>
          <w:color w:val="000000" w:themeColor="text1"/>
        </w:rPr>
        <w:t xml:space="preserve"> </w:t>
      </w:r>
    </w:p>
    <w:p w14:paraId="422CB1A3" w14:textId="460C1163" w:rsidR="008F2E78" w:rsidRPr="00332F77" w:rsidRDefault="0045781E">
      <w:pPr>
        <w:widowControl w:val="0"/>
        <w:spacing w:line="480" w:lineRule="auto"/>
        <w:rPr>
          <w:color w:val="000000" w:themeColor="text1"/>
        </w:rPr>
      </w:pPr>
      <w:r w:rsidRPr="00332F77">
        <w:rPr>
          <w:color w:val="000000" w:themeColor="text1"/>
        </w:rPr>
        <w:tab/>
        <w:t>(c)</w:t>
      </w:r>
      <w:r w:rsidRPr="0047419C">
        <w:rPr>
          <w:color w:val="000000" w:themeColor="text1"/>
        </w:rPr>
        <w:t xml:space="preserve"> Other definitions applying to this [act] and the sections of Article 8 in which they appear are:</w:t>
      </w:r>
    </w:p>
    <w:p w14:paraId="47A79ACC" w14:textId="5803ECC3" w:rsidR="008F2E78" w:rsidRPr="0047419C" w:rsidRDefault="0045781E">
      <w:pPr>
        <w:widowControl w:val="0"/>
        <w:spacing w:line="480" w:lineRule="auto"/>
        <w:rPr>
          <w:color w:val="000000" w:themeColor="text1"/>
        </w:rPr>
      </w:pPr>
      <w:r w:rsidRPr="0047419C">
        <w:rPr>
          <w:color w:val="000000" w:themeColor="text1"/>
        </w:rPr>
        <w:tab/>
        <w:t xml:space="preserve">“Entitlement holder”. Section </w:t>
      </w:r>
      <w:r w:rsidR="004E08D1" w:rsidRPr="00C9196A">
        <w:rPr>
          <w:color w:val="000000" w:themeColor="text1"/>
        </w:rPr>
        <w:t>8</w:t>
      </w:r>
      <w:r w:rsidRPr="0047419C">
        <w:rPr>
          <w:color w:val="000000" w:themeColor="text1"/>
        </w:rPr>
        <w:t>-102(a)(7).</w:t>
      </w:r>
    </w:p>
    <w:p w14:paraId="03EA631F" w14:textId="06B166EB" w:rsidR="008F2E78" w:rsidRPr="0047419C" w:rsidRDefault="0045781E">
      <w:pPr>
        <w:widowControl w:val="0"/>
        <w:spacing w:line="480" w:lineRule="auto"/>
        <w:rPr>
          <w:color w:val="000000" w:themeColor="text1"/>
        </w:rPr>
      </w:pPr>
      <w:r w:rsidRPr="0047419C">
        <w:rPr>
          <w:color w:val="000000" w:themeColor="text1"/>
        </w:rPr>
        <w:tab/>
        <w:t>“Financial asset”. Section 8-102(a)(9).</w:t>
      </w:r>
      <w:r w:rsidRPr="00C9196A">
        <w:rPr>
          <w:color w:val="000000" w:themeColor="text1"/>
        </w:rPr>
        <w:t xml:space="preserve"> </w:t>
      </w:r>
    </w:p>
    <w:p w14:paraId="51E95C06" w14:textId="5EC60B21" w:rsidR="008F2E78" w:rsidRPr="0047419C" w:rsidRDefault="0045781E" w:rsidP="0047419C">
      <w:pPr>
        <w:widowControl w:val="0"/>
        <w:spacing w:line="480" w:lineRule="auto"/>
        <w:rPr>
          <w:color w:val="000000" w:themeColor="text1"/>
        </w:rPr>
      </w:pPr>
      <w:r w:rsidRPr="00C9196A">
        <w:rPr>
          <w:color w:val="000000" w:themeColor="text1"/>
        </w:rPr>
        <w:tab/>
      </w:r>
      <w:r w:rsidRPr="0047419C">
        <w:rPr>
          <w:color w:val="000000" w:themeColor="text1"/>
        </w:rPr>
        <w:t>“Securities intermediary”. Section 8-102(a)(14).</w:t>
      </w:r>
      <w:r w:rsidRPr="00C9196A">
        <w:rPr>
          <w:color w:val="000000" w:themeColor="text1"/>
        </w:rPr>
        <w:t xml:space="preserve"> </w:t>
      </w:r>
    </w:p>
    <w:p w14:paraId="007C4220" w14:textId="6EA5CEF2" w:rsidR="008F2E78" w:rsidRPr="0047419C" w:rsidRDefault="0045781E" w:rsidP="0047419C">
      <w:pPr>
        <w:widowControl w:val="0"/>
        <w:spacing w:line="480" w:lineRule="auto"/>
        <w:rPr>
          <w:color w:val="000000" w:themeColor="text1"/>
        </w:rPr>
      </w:pPr>
      <w:r w:rsidRPr="00C9196A">
        <w:rPr>
          <w:color w:val="000000" w:themeColor="text1"/>
        </w:rPr>
        <w:tab/>
      </w:r>
      <w:r w:rsidRPr="0047419C">
        <w:rPr>
          <w:color w:val="000000" w:themeColor="text1"/>
        </w:rPr>
        <w:t>“Security”. Section 8-102(a)(15).</w:t>
      </w:r>
      <w:r w:rsidRPr="00C9196A">
        <w:rPr>
          <w:color w:val="000000" w:themeColor="text1"/>
        </w:rPr>
        <w:t xml:space="preserve"> </w:t>
      </w:r>
    </w:p>
    <w:p w14:paraId="3A018756" w14:textId="6A011193" w:rsidR="008F2E78" w:rsidRPr="0047419C" w:rsidRDefault="0045781E" w:rsidP="0047419C">
      <w:pPr>
        <w:widowControl w:val="0"/>
        <w:spacing w:line="480" w:lineRule="auto"/>
        <w:rPr>
          <w:color w:val="000000" w:themeColor="text1"/>
        </w:rPr>
      </w:pPr>
      <w:r w:rsidRPr="00C9196A">
        <w:rPr>
          <w:color w:val="000000" w:themeColor="text1"/>
        </w:rPr>
        <w:tab/>
      </w:r>
      <w:r w:rsidRPr="0047419C">
        <w:rPr>
          <w:color w:val="000000" w:themeColor="text1"/>
        </w:rPr>
        <w:t>“Securities account”. Section 8-501.</w:t>
      </w:r>
      <w:r w:rsidRPr="00C9196A">
        <w:rPr>
          <w:color w:val="000000" w:themeColor="text1"/>
        </w:rPr>
        <w:t xml:space="preserve"> </w:t>
      </w:r>
    </w:p>
    <w:p w14:paraId="2C0D76FB" w14:textId="4734AA2F" w:rsidR="008F2E78" w:rsidRPr="0047419C" w:rsidRDefault="0045781E" w:rsidP="0047419C">
      <w:pPr>
        <w:widowControl w:val="0"/>
        <w:spacing w:line="480" w:lineRule="auto"/>
        <w:ind w:firstLine="720"/>
        <w:rPr>
          <w:color w:val="000000" w:themeColor="text1"/>
        </w:rPr>
      </w:pPr>
      <w:r w:rsidRPr="00332F77">
        <w:rPr>
          <w:color w:val="000000" w:themeColor="text1"/>
        </w:rPr>
        <w:t xml:space="preserve">(d) </w:t>
      </w:r>
      <w:r w:rsidR="00BA1576" w:rsidRPr="00C9196A">
        <w:rPr>
          <w:color w:val="000000" w:themeColor="text1"/>
        </w:rPr>
        <w:t>The</w:t>
      </w:r>
      <w:r w:rsidRPr="0047419C">
        <w:rPr>
          <w:color w:val="000000" w:themeColor="text1"/>
        </w:rPr>
        <w:t xml:space="preserve"> definition </w:t>
      </w:r>
      <w:r w:rsidR="00BA1576" w:rsidRPr="00C9196A">
        <w:rPr>
          <w:color w:val="000000" w:themeColor="text1"/>
        </w:rPr>
        <w:t xml:space="preserve">of “agreement” </w:t>
      </w:r>
      <w:r w:rsidRPr="0047419C">
        <w:rPr>
          <w:color w:val="000000" w:themeColor="text1"/>
        </w:rPr>
        <w:t xml:space="preserve">applying to this [act] appears </w:t>
      </w:r>
      <w:r w:rsidR="00BA1576" w:rsidRPr="00C9196A">
        <w:rPr>
          <w:color w:val="000000" w:themeColor="text1"/>
        </w:rPr>
        <w:t xml:space="preserve">in </w:t>
      </w:r>
      <w:r w:rsidRPr="0047419C">
        <w:rPr>
          <w:color w:val="000000" w:themeColor="text1"/>
        </w:rPr>
        <w:t>Section 1-201(b)(3</w:t>
      </w:r>
      <w:r w:rsidR="00BA1576" w:rsidRPr="00C9196A">
        <w:rPr>
          <w:color w:val="000000" w:themeColor="text1"/>
        </w:rPr>
        <w:t>) of Article 1 of the Uniform Commercial Code[, as amended], in substantially the form approved by the American Law Institute and the National Conference of Commissioners on Uniform State Laws.</w:t>
      </w:r>
      <w:r w:rsidRPr="0047419C">
        <w:rPr>
          <w:color w:val="000000" w:themeColor="text1"/>
        </w:rPr>
        <w:t xml:space="preserve"> </w:t>
      </w:r>
    </w:p>
    <w:p w14:paraId="1B9A3BD9" w14:textId="0C25A864" w:rsidR="008F2E78" w:rsidRDefault="0045781E" w:rsidP="00A71A80">
      <w:pPr>
        <w:widowControl w:val="0"/>
        <w:rPr>
          <w:i/>
          <w:color w:val="000000" w:themeColor="text1"/>
        </w:rPr>
      </w:pPr>
      <w:r w:rsidRPr="00332F77">
        <w:rPr>
          <w:b/>
          <w:i/>
          <w:color w:val="000000" w:themeColor="text1"/>
        </w:rPr>
        <w:t xml:space="preserve">Legislative Note: </w:t>
      </w:r>
      <w:r w:rsidRPr="00332F77">
        <w:rPr>
          <w:i/>
          <w:color w:val="000000" w:themeColor="text1"/>
        </w:rPr>
        <w:t>In states in which the constitution, or other law, does not permit the phrase “as amended” when statutes of other jurisdictions are incorporated into state law, the phrase should be deleted in subsection (a)(1).</w:t>
      </w:r>
    </w:p>
    <w:p w14:paraId="1BB9CCF0" w14:textId="77777777" w:rsidR="003F55F7" w:rsidRPr="00332F77" w:rsidRDefault="003F55F7" w:rsidP="00A71A80">
      <w:pPr>
        <w:widowControl w:val="0"/>
        <w:rPr>
          <w:color w:val="000000" w:themeColor="text1"/>
        </w:rPr>
      </w:pPr>
    </w:p>
    <w:p w14:paraId="208974A1" w14:textId="77777777" w:rsidR="008F2E78" w:rsidRPr="00332F77" w:rsidRDefault="0045781E">
      <w:pPr>
        <w:widowControl w:val="0"/>
        <w:spacing w:line="480" w:lineRule="auto"/>
        <w:rPr>
          <w:color w:val="000000" w:themeColor="text1"/>
        </w:rPr>
      </w:pPr>
      <w:r w:rsidRPr="00332F77">
        <w:rPr>
          <w:color w:val="000000" w:themeColor="text1"/>
        </w:rPr>
        <w:tab/>
      </w:r>
      <w:bookmarkStart w:id="13" w:name="_Toc521400057"/>
      <w:bookmarkStart w:id="14" w:name="_Toc526244491"/>
      <w:r w:rsidRPr="000413E9">
        <w:rPr>
          <w:rStyle w:val="Heading1Char"/>
        </w:rPr>
        <w:t>SECTION 3.  SCOPE.</w:t>
      </w:r>
      <w:bookmarkEnd w:id="13"/>
      <w:bookmarkEnd w:id="14"/>
      <w:r w:rsidRPr="00332F77">
        <w:rPr>
          <w:b/>
          <w:color w:val="000000" w:themeColor="text1"/>
        </w:rPr>
        <w:t xml:space="preserve">  </w:t>
      </w:r>
      <w:r w:rsidRPr="00332F77">
        <w:rPr>
          <w:color w:val="000000" w:themeColor="text1"/>
        </w:rPr>
        <w:t xml:space="preserve">This [act] applies to: </w:t>
      </w:r>
    </w:p>
    <w:p w14:paraId="544C0154" w14:textId="77777777" w:rsidR="008F2E78" w:rsidRPr="00332F77" w:rsidRDefault="0045781E">
      <w:pPr>
        <w:spacing w:line="480" w:lineRule="auto"/>
        <w:rPr>
          <w:color w:val="000000" w:themeColor="text1"/>
        </w:rPr>
      </w:pPr>
      <w:r w:rsidRPr="00332F77">
        <w:rPr>
          <w:color w:val="000000" w:themeColor="text1"/>
        </w:rPr>
        <w:tab/>
        <w:t xml:space="preserve">(1) a person or transaction governed by the Uniform Regulation of Virtual-Currency Businesses Act; and </w:t>
      </w:r>
    </w:p>
    <w:p w14:paraId="02DBE03E" w14:textId="77777777" w:rsidR="008F2E78" w:rsidRPr="00332F77" w:rsidRDefault="0045781E">
      <w:pPr>
        <w:spacing w:line="480" w:lineRule="auto"/>
        <w:rPr>
          <w:color w:val="000000" w:themeColor="text1"/>
        </w:rPr>
      </w:pPr>
      <w:r w:rsidRPr="00332F77">
        <w:rPr>
          <w:color w:val="000000" w:themeColor="text1"/>
        </w:rPr>
        <w:tab/>
        <w:t>(2) a user that is not a resident if the user or transaction with the user would be governed by the Uniform Regulation of Virtual-Currency Businesses Act if the user were a resident.</w:t>
      </w:r>
    </w:p>
    <w:p w14:paraId="012799C7" w14:textId="77777777" w:rsidR="008F2E78" w:rsidRPr="000413E9" w:rsidRDefault="0045781E" w:rsidP="000413E9">
      <w:pPr>
        <w:pStyle w:val="Heading1"/>
      </w:pPr>
      <w:r w:rsidRPr="00332F77">
        <w:lastRenderedPageBreak/>
        <w:tab/>
      </w:r>
      <w:bookmarkStart w:id="15" w:name="_Toc521400058"/>
      <w:bookmarkStart w:id="16" w:name="_Toc526244492"/>
      <w:r w:rsidRPr="000413E9">
        <w:t>SECTION 4.  INCORPORATION OF ARTICLE 8.</w:t>
      </w:r>
      <w:bookmarkEnd w:id="15"/>
      <w:bookmarkEnd w:id="16"/>
    </w:p>
    <w:p w14:paraId="674323FC" w14:textId="77777777" w:rsidR="008F2E78" w:rsidRPr="00332F77" w:rsidRDefault="0045781E">
      <w:pPr>
        <w:widowControl w:val="0"/>
        <w:spacing w:line="480" w:lineRule="auto"/>
        <w:rPr>
          <w:color w:val="000000" w:themeColor="text1"/>
        </w:rPr>
      </w:pPr>
      <w:r w:rsidRPr="00332F77">
        <w:rPr>
          <w:color w:val="000000" w:themeColor="text1"/>
        </w:rPr>
        <w:tab/>
        <w:t>(a) The relationship between a licensee or registrant and a user must be evidenced by an agreement in a record signed by the licensee or registrant and by the user.  The agreement:</w:t>
      </w:r>
    </w:p>
    <w:p w14:paraId="15C85956" w14:textId="77777777" w:rsidR="008F2E78" w:rsidRPr="00332F77" w:rsidRDefault="0045781E">
      <w:pPr>
        <w:widowControl w:val="0"/>
        <w:spacing w:line="480" w:lineRule="auto"/>
        <w:rPr>
          <w:color w:val="000000" w:themeColor="text1"/>
        </w:rPr>
      </w:pPr>
      <w:r w:rsidRPr="00332F77">
        <w:rPr>
          <w:color w:val="000000" w:themeColor="text1"/>
        </w:rPr>
        <w:tab/>
      </w:r>
      <w:r w:rsidRPr="00332F77">
        <w:rPr>
          <w:color w:val="000000" w:themeColor="text1"/>
        </w:rPr>
        <w:tab/>
        <w:t>(1) must specify the jurisdiction whose law governs the agreement;</w:t>
      </w:r>
    </w:p>
    <w:p w14:paraId="4217EE91" w14:textId="4B246813" w:rsidR="008F2E78" w:rsidRPr="00332F77" w:rsidRDefault="0045781E">
      <w:pPr>
        <w:widowControl w:val="0"/>
        <w:spacing w:line="480" w:lineRule="auto"/>
        <w:rPr>
          <w:color w:val="000000" w:themeColor="text1"/>
        </w:rPr>
      </w:pPr>
      <w:r w:rsidRPr="00332F77">
        <w:rPr>
          <w:color w:val="000000" w:themeColor="text1"/>
        </w:rPr>
        <w:tab/>
      </w:r>
      <w:r w:rsidRPr="00332F77">
        <w:rPr>
          <w:color w:val="000000" w:themeColor="text1"/>
        </w:rPr>
        <w:tab/>
        <w:t>(2) if governed by the law of a jurisdiction that is not a Uniform Commercial Code jurisdiction, must:</w:t>
      </w:r>
    </w:p>
    <w:p w14:paraId="2B27FE9A" w14:textId="2AAF5A3C" w:rsidR="008F2E78" w:rsidRPr="0047419C" w:rsidRDefault="002B2F76" w:rsidP="0047419C">
      <w:pPr>
        <w:widowControl w:val="0"/>
        <w:spacing w:line="480" w:lineRule="auto"/>
        <w:rPr>
          <w:color w:val="000000" w:themeColor="text1"/>
        </w:rPr>
      </w:pPr>
      <w:r w:rsidRPr="00C9196A">
        <w:rPr>
          <w:color w:val="000000" w:themeColor="text1"/>
        </w:rPr>
        <w:tab/>
      </w:r>
      <w:r w:rsidRPr="00C9196A">
        <w:rPr>
          <w:color w:val="000000" w:themeColor="text1"/>
        </w:rPr>
        <w:tab/>
      </w:r>
      <w:r w:rsidRPr="00C9196A">
        <w:rPr>
          <w:color w:val="000000" w:themeColor="text1"/>
        </w:rPr>
        <w:tab/>
      </w:r>
      <w:r w:rsidR="0045781E" w:rsidRPr="0047419C">
        <w:rPr>
          <w:color w:val="000000" w:themeColor="text1"/>
        </w:rPr>
        <w:t xml:space="preserve">(A) specify a Uniform Commercial Code jurisdiction as the securities intermediary’s jurisdiction for the </w:t>
      </w:r>
      <w:r w:rsidR="004E08D1" w:rsidRPr="00C9196A">
        <w:rPr>
          <w:color w:val="000000" w:themeColor="text1"/>
        </w:rPr>
        <w:t>purpose</w:t>
      </w:r>
      <w:r w:rsidR="0045781E" w:rsidRPr="0047419C">
        <w:rPr>
          <w:color w:val="000000" w:themeColor="text1"/>
        </w:rPr>
        <w:t xml:space="preserve"> of Article 8</w:t>
      </w:r>
      <w:r w:rsidR="004E08D1" w:rsidRPr="00C9196A">
        <w:rPr>
          <w:color w:val="000000" w:themeColor="text1"/>
        </w:rPr>
        <w:t>; and</w:t>
      </w:r>
    </w:p>
    <w:p w14:paraId="36C87DE6" w14:textId="4CBF449F" w:rsidR="008F2E78" w:rsidRPr="00332F77" w:rsidRDefault="0045781E">
      <w:pPr>
        <w:widowControl w:val="0"/>
        <w:spacing w:line="480" w:lineRule="auto"/>
        <w:rPr>
          <w:color w:val="000000" w:themeColor="text1"/>
        </w:rPr>
      </w:pPr>
      <w:r w:rsidRPr="00332F77">
        <w:rPr>
          <w:color w:val="000000" w:themeColor="text1"/>
        </w:rPr>
        <w:tab/>
      </w:r>
      <w:r w:rsidRPr="00332F77">
        <w:rPr>
          <w:color w:val="000000" w:themeColor="text1"/>
        </w:rPr>
        <w:tab/>
      </w:r>
      <w:r w:rsidRPr="00332F77">
        <w:rPr>
          <w:color w:val="000000" w:themeColor="text1"/>
        </w:rPr>
        <w:tab/>
        <w:t>(B) state that the law in force in the Uniform Commercial Code jurisdiction under subparagraph (A) applies to all issues specified in Article 2(1) of the Hague Securities Convention;</w:t>
      </w:r>
    </w:p>
    <w:p w14:paraId="4492BFF0" w14:textId="77777777" w:rsidR="008F2E78" w:rsidRPr="00332F77" w:rsidRDefault="0045781E">
      <w:pPr>
        <w:widowControl w:val="0"/>
        <w:spacing w:line="480" w:lineRule="auto"/>
        <w:rPr>
          <w:color w:val="000000" w:themeColor="text1"/>
        </w:rPr>
      </w:pPr>
      <w:r w:rsidRPr="00332F77">
        <w:rPr>
          <w:color w:val="000000" w:themeColor="text1"/>
        </w:rPr>
        <w:tab/>
      </w:r>
      <w:r w:rsidRPr="00332F77">
        <w:rPr>
          <w:color w:val="000000" w:themeColor="text1"/>
        </w:rPr>
        <w:tab/>
        <w:t>(3) must state that:</w:t>
      </w:r>
    </w:p>
    <w:p w14:paraId="4CDA3CCB" w14:textId="77777777" w:rsidR="008F2E78" w:rsidRPr="00332F77" w:rsidRDefault="0045781E">
      <w:pPr>
        <w:widowControl w:val="0"/>
        <w:spacing w:line="480" w:lineRule="auto"/>
        <w:ind w:left="1440" w:firstLine="720"/>
        <w:rPr>
          <w:color w:val="000000" w:themeColor="text1"/>
        </w:rPr>
      </w:pPr>
      <w:r w:rsidRPr="00332F77">
        <w:rPr>
          <w:color w:val="000000" w:themeColor="text1"/>
        </w:rPr>
        <w:t>(A) the licensee or registrant is a securities intermediary;</w:t>
      </w:r>
    </w:p>
    <w:p w14:paraId="6B5B1315" w14:textId="77777777" w:rsidR="008F2E78" w:rsidRPr="00332F77" w:rsidRDefault="0045781E">
      <w:pPr>
        <w:widowControl w:val="0"/>
        <w:spacing w:line="480" w:lineRule="auto"/>
        <w:rPr>
          <w:color w:val="000000" w:themeColor="text1"/>
        </w:rPr>
      </w:pPr>
      <w:r w:rsidRPr="00332F77">
        <w:rPr>
          <w:color w:val="000000" w:themeColor="text1"/>
        </w:rPr>
        <w:tab/>
      </w:r>
      <w:r w:rsidRPr="00332F77">
        <w:rPr>
          <w:color w:val="000000" w:themeColor="text1"/>
        </w:rPr>
        <w:tab/>
      </w:r>
      <w:r w:rsidRPr="00332F77">
        <w:rPr>
          <w:color w:val="000000" w:themeColor="text1"/>
        </w:rPr>
        <w:tab/>
        <w:t xml:space="preserve">(B) the control of virtual currency by the licensee or registrant for the benefit of the user creates a securities account of which the user is the entitlement holder; </w:t>
      </w:r>
    </w:p>
    <w:p w14:paraId="1FF7F694" w14:textId="77777777" w:rsidR="008F2E78" w:rsidRPr="00332F77" w:rsidRDefault="0045781E">
      <w:pPr>
        <w:widowControl w:val="0"/>
        <w:spacing w:line="480" w:lineRule="auto"/>
        <w:rPr>
          <w:color w:val="000000" w:themeColor="text1"/>
        </w:rPr>
      </w:pPr>
      <w:r w:rsidRPr="00332F77">
        <w:rPr>
          <w:color w:val="000000" w:themeColor="text1"/>
        </w:rPr>
        <w:tab/>
      </w:r>
      <w:r w:rsidRPr="00332F77">
        <w:rPr>
          <w:color w:val="000000" w:themeColor="text1"/>
        </w:rPr>
        <w:tab/>
      </w:r>
      <w:r w:rsidRPr="00332F77">
        <w:rPr>
          <w:color w:val="000000" w:themeColor="text1"/>
        </w:rPr>
        <w:tab/>
        <w:t>(C) the parties agree that the virtual currency is to be treated as a financial asset credited or held for credit to the securities account of the user; and</w:t>
      </w:r>
    </w:p>
    <w:p w14:paraId="06BB5F9D" w14:textId="77777777" w:rsidR="008F2E78" w:rsidRPr="00332F77" w:rsidRDefault="0045781E">
      <w:pPr>
        <w:widowControl w:val="0"/>
        <w:spacing w:line="480" w:lineRule="auto"/>
        <w:rPr>
          <w:color w:val="000000" w:themeColor="text1"/>
        </w:rPr>
      </w:pPr>
      <w:r w:rsidRPr="00332F77">
        <w:rPr>
          <w:color w:val="000000" w:themeColor="text1"/>
        </w:rPr>
        <w:tab/>
      </w:r>
      <w:r w:rsidRPr="00332F77">
        <w:rPr>
          <w:color w:val="000000" w:themeColor="text1"/>
        </w:rPr>
        <w:tab/>
      </w:r>
      <w:r w:rsidRPr="00332F77">
        <w:rPr>
          <w:color w:val="000000" w:themeColor="text1"/>
        </w:rPr>
        <w:tab/>
        <w:t>(D) the licensee or registrant will not grant a security interest in virtual currency which the licensee or registrant is obligated to maintain under Section 8-504(a) of Article 8;</w:t>
      </w:r>
    </w:p>
    <w:p w14:paraId="5D4FC753" w14:textId="77777777" w:rsidR="008F2E78" w:rsidRPr="00332F77" w:rsidRDefault="0045781E">
      <w:pPr>
        <w:widowControl w:val="0"/>
        <w:spacing w:line="480" w:lineRule="auto"/>
        <w:rPr>
          <w:color w:val="000000" w:themeColor="text1"/>
        </w:rPr>
      </w:pPr>
      <w:r w:rsidRPr="00332F77">
        <w:rPr>
          <w:color w:val="000000" w:themeColor="text1"/>
        </w:rPr>
        <w:tab/>
      </w:r>
      <w:r w:rsidRPr="00332F77">
        <w:rPr>
          <w:color w:val="000000" w:themeColor="text1"/>
        </w:rPr>
        <w:tab/>
        <w:t>(4) may not provide a standard for the licensee or registrant to comply with its duties under Part 5 of Article 8 which is less protective of the user than the standard that would apply under Part 5 of Article 8 in the absence of an agreement concerning the standard; and</w:t>
      </w:r>
    </w:p>
    <w:p w14:paraId="589EAB52" w14:textId="77777777" w:rsidR="008F2E78" w:rsidRPr="00332F77" w:rsidRDefault="0045781E">
      <w:pPr>
        <w:widowControl w:val="0"/>
        <w:spacing w:line="480" w:lineRule="auto"/>
        <w:rPr>
          <w:color w:val="000000" w:themeColor="text1"/>
        </w:rPr>
      </w:pPr>
      <w:r w:rsidRPr="00332F77">
        <w:rPr>
          <w:color w:val="000000" w:themeColor="text1"/>
        </w:rPr>
        <w:lastRenderedPageBreak/>
        <w:tab/>
      </w:r>
      <w:r w:rsidRPr="00332F77">
        <w:rPr>
          <w:color w:val="000000" w:themeColor="text1"/>
        </w:rPr>
        <w:tab/>
        <w:t>(5) may not provide that:</w:t>
      </w:r>
    </w:p>
    <w:p w14:paraId="7BD051B8" w14:textId="797A437A" w:rsidR="008F2E78" w:rsidRPr="00332F77" w:rsidRDefault="00C748E3" w:rsidP="00C748E3">
      <w:pPr>
        <w:widowControl w:val="0"/>
        <w:spacing w:line="480" w:lineRule="auto"/>
        <w:rPr>
          <w:color w:val="000000" w:themeColor="text1"/>
        </w:rPr>
      </w:pPr>
      <w:r>
        <w:rPr>
          <w:color w:val="000000" w:themeColor="text1"/>
        </w:rPr>
        <w:tab/>
      </w:r>
      <w:r>
        <w:rPr>
          <w:color w:val="000000" w:themeColor="text1"/>
        </w:rPr>
        <w:tab/>
      </w:r>
      <w:r>
        <w:rPr>
          <w:color w:val="000000" w:themeColor="text1"/>
        </w:rPr>
        <w:tab/>
      </w:r>
      <w:r w:rsidR="0045781E" w:rsidRPr="00332F77">
        <w:rPr>
          <w:color w:val="000000" w:themeColor="text1"/>
        </w:rPr>
        <w:t>(A) the securities intermediary’s jurisdiction for the purpose of Article 8</w:t>
      </w:r>
      <w:r>
        <w:rPr>
          <w:color w:val="000000" w:themeColor="text1"/>
        </w:rPr>
        <w:t xml:space="preserve"> </w:t>
      </w:r>
      <w:r w:rsidR="0045781E" w:rsidRPr="00332F77">
        <w:rPr>
          <w:color w:val="000000" w:themeColor="text1"/>
        </w:rPr>
        <w:t>is a jurisdiction that is not a Uniform Commercial Code jurisdiction; or</w:t>
      </w:r>
    </w:p>
    <w:p w14:paraId="6DB8D82C" w14:textId="3E19AFEC" w:rsidR="008F2E78" w:rsidRPr="00332F77" w:rsidRDefault="00C748E3" w:rsidP="00C748E3">
      <w:pPr>
        <w:widowControl w:val="0"/>
        <w:spacing w:line="480" w:lineRule="auto"/>
        <w:rPr>
          <w:color w:val="000000" w:themeColor="text1"/>
        </w:rPr>
      </w:pPr>
      <w:r>
        <w:rPr>
          <w:color w:val="000000" w:themeColor="text1"/>
        </w:rPr>
        <w:tab/>
      </w:r>
      <w:r>
        <w:rPr>
          <w:color w:val="000000" w:themeColor="text1"/>
        </w:rPr>
        <w:tab/>
      </w:r>
      <w:r>
        <w:rPr>
          <w:color w:val="000000" w:themeColor="text1"/>
        </w:rPr>
        <w:tab/>
      </w:r>
      <w:r w:rsidR="0045781E" w:rsidRPr="00332F77">
        <w:rPr>
          <w:color w:val="000000" w:themeColor="text1"/>
        </w:rPr>
        <w:t>(B) the law</w:t>
      </w:r>
      <w:r w:rsidR="004E08D1" w:rsidRPr="00C9196A">
        <w:rPr>
          <w:color w:val="000000" w:themeColor="text1"/>
        </w:rPr>
        <w:t xml:space="preserve"> in force</w:t>
      </w:r>
      <w:r w:rsidR="0045781E" w:rsidRPr="00332F77">
        <w:rPr>
          <w:color w:val="000000" w:themeColor="text1"/>
        </w:rPr>
        <w:t xml:space="preserve"> in a jurisdiction that is not a Uniform Commercial</w:t>
      </w:r>
      <w:r>
        <w:rPr>
          <w:color w:val="000000" w:themeColor="text1"/>
        </w:rPr>
        <w:t xml:space="preserve"> </w:t>
      </w:r>
      <w:r w:rsidR="0045781E" w:rsidRPr="00332F77">
        <w:rPr>
          <w:color w:val="000000" w:themeColor="text1"/>
        </w:rPr>
        <w:t xml:space="preserve">Code jurisdiction applies to all issues specified in Article 2(1) of the Hague Securities Convention. </w:t>
      </w:r>
    </w:p>
    <w:p w14:paraId="674A0E04" w14:textId="405922E2" w:rsidR="008F2E78" w:rsidRPr="00332F77" w:rsidRDefault="0045781E">
      <w:pPr>
        <w:widowControl w:val="0"/>
        <w:spacing w:line="480" w:lineRule="auto"/>
        <w:rPr>
          <w:color w:val="000000" w:themeColor="text1"/>
        </w:rPr>
      </w:pPr>
      <w:r w:rsidRPr="00332F77">
        <w:rPr>
          <w:color w:val="000000" w:themeColor="text1"/>
        </w:rPr>
        <w:tab/>
        <w:t xml:space="preserve">(b) To the extent </w:t>
      </w:r>
      <w:r w:rsidR="001F1A1B">
        <w:rPr>
          <w:color w:val="000000" w:themeColor="text1"/>
        </w:rPr>
        <w:t xml:space="preserve">that </w:t>
      </w:r>
      <w:r w:rsidRPr="0047419C">
        <w:rPr>
          <w:color w:val="000000" w:themeColor="text1"/>
        </w:rPr>
        <w:t xml:space="preserve">there is no agreement that complies with subsection (a), the relationship between </w:t>
      </w:r>
      <w:r w:rsidR="004E08D1" w:rsidRPr="00C9196A">
        <w:rPr>
          <w:color w:val="000000" w:themeColor="text1"/>
        </w:rPr>
        <w:t>a</w:t>
      </w:r>
      <w:r w:rsidRPr="0047419C">
        <w:rPr>
          <w:color w:val="000000" w:themeColor="text1"/>
        </w:rPr>
        <w:t xml:space="preserve"> licensee or registrant and </w:t>
      </w:r>
      <w:r w:rsidR="004E08D1" w:rsidRPr="00C9196A">
        <w:rPr>
          <w:color w:val="000000" w:themeColor="text1"/>
        </w:rPr>
        <w:t>a</w:t>
      </w:r>
      <w:r w:rsidRPr="0047419C">
        <w:rPr>
          <w:color w:val="000000" w:themeColor="text1"/>
        </w:rPr>
        <w:t xml:space="preserve"> user is determined as if the licensee or registrant and the user have an agreement that complies with subsection (a) and specifies </w:t>
      </w:r>
      <w:r w:rsidR="00632EA4">
        <w:rPr>
          <w:color w:val="000000" w:themeColor="text1"/>
        </w:rPr>
        <w:t>that</w:t>
      </w:r>
      <w:r w:rsidR="00E82F17" w:rsidRPr="00BB6207">
        <w:rPr>
          <w:color w:val="000000" w:themeColor="text1"/>
        </w:rPr>
        <w:t xml:space="preserve"> </w:t>
      </w:r>
      <w:r w:rsidRPr="0047419C">
        <w:rPr>
          <w:color w:val="000000" w:themeColor="text1"/>
        </w:rPr>
        <w:t>the law of this state governs the agreement.</w:t>
      </w:r>
    </w:p>
    <w:p w14:paraId="1F088DF1" w14:textId="77777777" w:rsidR="008F2E78" w:rsidRPr="00332F77" w:rsidRDefault="0045781E">
      <w:pPr>
        <w:widowControl w:val="0"/>
        <w:spacing w:line="480" w:lineRule="auto"/>
        <w:rPr>
          <w:color w:val="000000" w:themeColor="text1"/>
        </w:rPr>
      </w:pPr>
      <w:r w:rsidRPr="00332F77">
        <w:rPr>
          <w:color w:val="000000" w:themeColor="text1"/>
        </w:rPr>
        <w:tab/>
        <w:t xml:space="preserve">(c) The effect of this section may not be varied by agreement. </w:t>
      </w:r>
    </w:p>
    <w:p w14:paraId="6E8C7E11" w14:textId="77777777" w:rsidR="008F2E78" w:rsidRPr="000413E9" w:rsidRDefault="0045781E" w:rsidP="003255CF">
      <w:pPr>
        <w:pStyle w:val="Heading1"/>
        <w:keepNext/>
        <w:keepLines/>
      </w:pPr>
      <w:r w:rsidRPr="00332F77">
        <w:tab/>
      </w:r>
      <w:bookmarkStart w:id="17" w:name="_Toc508983174"/>
      <w:bookmarkStart w:id="18" w:name="_Toc521400059"/>
      <w:bookmarkStart w:id="19" w:name="_Toc526244493"/>
      <w:r w:rsidRPr="000413E9">
        <w:t>SECTION 5.  QUALIFYING OFFICE UNDER HAGUE SECURITIES CONVENTION.</w:t>
      </w:r>
      <w:bookmarkEnd w:id="17"/>
      <w:bookmarkEnd w:id="18"/>
      <w:bookmarkEnd w:id="19"/>
      <w:r w:rsidRPr="000413E9">
        <w:t xml:space="preserve">  </w:t>
      </w:r>
    </w:p>
    <w:p w14:paraId="1ECD317D" w14:textId="702517C2" w:rsidR="008F2E78" w:rsidRPr="00332F77" w:rsidRDefault="0045781E">
      <w:pPr>
        <w:keepNext/>
        <w:keepLines/>
        <w:spacing w:line="480" w:lineRule="auto"/>
        <w:rPr>
          <w:color w:val="000000" w:themeColor="text1"/>
        </w:rPr>
      </w:pPr>
      <w:r w:rsidRPr="00332F77">
        <w:rPr>
          <w:color w:val="000000" w:themeColor="text1"/>
        </w:rPr>
        <w:tab/>
        <w:t xml:space="preserve">(a) A licensee or registrant shall maintain in </w:t>
      </w:r>
      <w:r w:rsidR="004E08D1" w:rsidRPr="00C9196A">
        <w:rPr>
          <w:color w:val="000000" w:themeColor="text1"/>
        </w:rPr>
        <w:t>a</w:t>
      </w:r>
      <w:r w:rsidRPr="004A10FD">
        <w:rPr>
          <w:color w:val="000000" w:themeColor="text1"/>
        </w:rPr>
        <w:t xml:space="preserve"> state an office that complies </w:t>
      </w:r>
      <w:r w:rsidRPr="00332F77">
        <w:rPr>
          <w:color w:val="000000" w:themeColor="text1"/>
        </w:rPr>
        <w:t>with the second sentence of Article 4(1) of the Hague Securities Convention.</w:t>
      </w:r>
    </w:p>
    <w:p w14:paraId="40F03DAF" w14:textId="77777777" w:rsidR="008F2E78" w:rsidRPr="00332F77" w:rsidRDefault="0045781E">
      <w:pPr>
        <w:widowControl w:val="0"/>
        <w:spacing w:line="480" w:lineRule="auto"/>
        <w:rPr>
          <w:color w:val="000000" w:themeColor="text1"/>
        </w:rPr>
      </w:pPr>
      <w:r w:rsidRPr="00332F77">
        <w:rPr>
          <w:color w:val="000000" w:themeColor="text1"/>
        </w:rPr>
        <w:tab/>
        <w:t xml:space="preserve">(b) The effect of this section may not be varied by agreement. </w:t>
      </w:r>
    </w:p>
    <w:p w14:paraId="2787AC2C" w14:textId="6C5921F8" w:rsidR="008F2E78" w:rsidRPr="00332F77" w:rsidRDefault="0045781E">
      <w:pPr>
        <w:widowControl w:val="0"/>
        <w:spacing w:line="480" w:lineRule="auto"/>
        <w:rPr>
          <w:color w:val="000000" w:themeColor="text1"/>
        </w:rPr>
      </w:pPr>
      <w:r w:rsidRPr="00332F77">
        <w:rPr>
          <w:color w:val="000000" w:themeColor="text1"/>
        </w:rPr>
        <w:tab/>
      </w:r>
      <w:bookmarkStart w:id="20" w:name="_Toc508983175"/>
      <w:bookmarkStart w:id="21" w:name="_Toc521400060"/>
      <w:bookmarkStart w:id="22" w:name="_Toc526244494"/>
      <w:r w:rsidRPr="000413E9">
        <w:rPr>
          <w:rStyle w:val="Heading1Char"/>
        </w:rPr>
        <w:t>SECTION 6.  EFFECT OF FAILURE TO COMPLY WITH [ACT].</w:t>
      </w:r>
      <w:bookmarkEnd w:id="20"/>
      <w:bookmarkEnd w:id="21"/>
      <w:bookmarkEnd w:id="22"/>
      <w:r w:rsidRPr="00332F77">
        <w:rPr>
          <w:b/>
          <w:color w:val="000000" w:themeColor="text1"/>
        </w:rPr>
        <w:t xml:space="preserve"> </w:t>
      </w:r>
      <w:r w:rsidRPr="00332F77">
        <w:rPr>
          <w:color w:val="000000" w:themeColor="text1"/>
        </w:rPr>
        <w:t xml:space="preserve">  Failure to comply with this [act] is a violation of the Uniform Regulation of Virtual-Currency Businesses Act.</w:t>
      </w:r>
    </w:p>
    <w:p w14:paraId="46EC438B" w14:textId="5A0D6E34" w:rsidR="008F2E78" w:rsidRPr="004A10FD" w:rsidRDefault="0045781E">
      <w:pPr>
        <w:widowControl w:val="0"/>
        <w:spacing w:line="480" w:lineRule="auto"/>
        <w:rPr>
          <w:color w:val="000000" w:themeColor="text1"/>
        </w:rPr>
      </w:pPr>
      <w:r w:rsidRPr="004A10FD">
        <w:rPr>
          <w:color w:val="000000" w:themeColor="text1"/>
        </w:rPr>
        <w:tab/>
      </w:r>
      <w:bookmarkStart w:id="23" w:name="_Toc508983176"/>
      <w:bookmarkStart w:id="24" w:name="_Toc521400061"/>
      <w:bookmarkStart w:id="25" w:name="_Toc526244495"/>
      <w:r w:rsidRPr="000413E9">
        <w:rPr>
          <w:rStyle w:val="Heading1Char"/>
        </w:rPr>
        <w:t>SECTION 7.  NO INFERENCE AS TO CHARACTERIZATION UNDER OTHER STATUTE OR RULE.</w:t>
      </w:r>
      <w:bookmarkEnd w:id="23"/>
      <w:bookmarkEnd w:id="24"/>
      <w:bookmarkEnd w:id="25"/>
      <w:r w:rsidRPr="004A10FD">
        <w:rPr>
          <w:b/>
          <w:color w:val="000000" w:themeColor="text1"/>
        </w:rPr>
        <w:t xml:space="preserve">  </w:t>
      </w:r>
      <w:r w:rsidRPr="004A10FD">
        <w:rPr>
          <w:color w:val="000000" w:themeColor="text1"/>
        </w:rPr>
        <w:t>Treatment of virtual currency as a financial asset credited to a securities account under this [act] and Article 8 does not determine the characterization or treatment of the virtual currency under any other statute or rule.</w:t>
      </w:r>
    </w:p>
    <w:p w14:paraId="52E8B176" w14:textId="2D05AD3B" w:rsidR="008F2E78" w:rsidRPr="00332F77" w:rsidRDefault="0045781E">
      <w:pPr>
        <w:keepNext/>
        <w:keepLines/>
        <w:widowControl w:val="0"/>
        <w:spacing w:line="480" w:lineRule="auto"/>
        <w:ind w:firstLine="720"/>
        <w:rPr>
          <w:color w:val="000000" w:themeColor="text1"/>
        </w:rPr>
      </w:pPr>
      <w:bookmarkStart w:id="26" w:name="_Toc508983177"/>
      <w:bookmarkStart w:id="27" w:name="_Toc521400062"/>
      <w:bookmarkStart w:id="28" w:name="_Toc526244496"/>
      <w:r w:rsidRPr="000413E9">
        <w:rPr>
          <w:rStyle w:val="Heading1Char"/>
        </w:rPr>
        <w:lastRenderedPageBreak/>
        <w:t>SECTION 8.  SUPPLEMENTARY LAW.</w:t>
      </w:r>
      <w:bookmarkEnd w:id="26"/>
      <w:bookmarkEnd w:id="27"/>
      <w:bookmarkEnd w:id="28"/>
      <w:r w:rsidRPr="00332F77">
        <w:rPr>
          <w:b/>
          <w:color w:val="000000" w:themeColor="text1"/>
        </w:rPr>
        <w:t xml:space="preserve">  </w:t>
      </w:r>
      <w:r w:rsidRPr="00332F77">
        <w:rPr>
          <w:color w:val="000000" w:themeColor="text1"/>
        </w:rPr>
        <w:t xml:space="preserve">Unless displaced by the particular provisions of this [act], the principles of law and equity supplement this [act]. </w:t>
      </w:r>
    </w:p>
    <w:p w14:paraId="43ECE391" w14:textId="53560353" w:rsidR="008F2E78" w:rsidRPr="00332F77" w:rsidRDefault="0045781E">
      <w:pPr>
        <w:widowControl w:val="0"/>
        <w:spacing w:line="480" w:lineRule="auto"/>
        <w:rPr>
          <w:color w:val="000000" w:themeColor="text1"/>
        </w:rPr>
      </w:pPr>
      <w:r w:rsidRPr="00332F77">
        <w:rPr>
          <w:color w:val="000000" w:themeColor="text1"/>
        </w:rPr>
        <w:tab/>
      </w:r>
      <w:bookmarkStart w:id="29" w:name="_Toc508983178"/>
      <w:bookmarkStart w:id="30" w:name="_Toc521400063"/>
      <w:bookmarkStart w:id="31" w:name="_Toc526244497"/>
      <w:r w:rsidRPr="000413E9">
        <w:rPr>
          <w:rStyle w:val="Heading1Char"/>
        </w:rPr>
        <w:t>SECTION 9.  UNIFORMITY OF APPLICATION AND CONSTRUCTION.</w:t>
      </w:r>
      <w:bookmarkEnd w:id="29"/>
      <w:bookmarkEnd w:id="30"/>
      <w:bookmarkEnd w:id="31"/>
      <w:r w:rsidR="000413E9">
        <w:rPr>
          <w:b/>
          <w:color w:val="000000" w:themeColor="text1"/>
        </w:rPr>
        <w:t xml:space="preserve"> </w:t>
      </w:r>
      <w:r w:rsidRPr="00332F77">
        <w:rPr>
          <w:b/>
          <w:color w:val="000000" w:themeColor="text1"/>
        </w:rPr>
        <w:t xml:space="preserve"> </w:t>
      </w:r>
      <w:r w:rsidRPr="00332F77">
        <w:rPr>
          <w:color w:val="000000" w:themeColor="text1"/>
        </w:rPr>
        <w:t xml:space="preserve">In applying and construing this uniform act, consideration must be given to the need to promote uniformity of the law with respect to its subject matter among states that enact it. </w:t>
      </w:r>
    </w:p>
    <w:p w14:paraId="71E31A7F" w14:textId="77777777" w:rsidR="008F2E78" w:rsidRPr="00332F77" w:rsidRDefault="0045781E">
      <w:pPr>
        <w:widowControl w:val="0"/>
        <w:spacing w:line="480" w:lineRule="auto"/>
        <w:rPr>
          <w:color w:val="000000" w:themeColor="text1"/>
        </w:rPr>
      </w:pPr>
      <w:r w:rsidRPr="00332F77">
        <w:rPr>
          <w:color w:val="000000" w:themeColor="text1"/>
        </w:rPr>
        <w:tab/>
      </w:r>
      <w:bookmarkStart w:id="32" w:name="_Toc508983179"/>
      <w:bookmarkStart w:id="33" w:name="_Toc521400064"/>
      <w:bookmarkStart w:id="34" w:name="_Toc526244498"/>
      <w:r w:rsidRPr="000413E9">
        <w:rPr>
          <w:rStyle w:val="Heading1Char"/>
        </w:rPr>
        <w:t>SECTION 10.  RELATION TO ELECTRONIC SIGNATURES IN GLOBAL AND NATIONAL COMMERCE ACT.</w:t>
      </w:r>
      <w:bookmarkEnd w:id="32"/>
      <w:bookmarkEnd w:id="33"/>
      <w:bookmarkEnd w:id="34"/>
      <w:r w:rsidRPr="00332F77">
        <w:rPr>
          <w:color w:val="000000" w:themeColor="text1"/>
        </w:rPr>
        <w:t xml:space="preserve">  This [act] modifies, limits, or supersedes the Electronic Signatures in Global and National Commerce Act, 15 U.S.C. Section 7001, et seq.,</w:t>
      </w:r>
      <w:r w:rsidRPr="00332F77">
        <w:rPr>
          <w:color w:val="000000" w:themeColor="text1"/>
          <w:spacing w:val="1"/>
        </w:rPr>
        <w:t xml:space="preserve"> </w:t>
      </w:r>
      <w:r w:rsidRPr="00332F77">
        <w:rPr>
          <w:color w:val="000000" w:themeColor="text1"/>
        </w:rPr>
        <w:t xml:space="preserve">but does not modify, limit, or supersede Section 101(c) of that act, 15 U.S.C. Section 7001(c), </w:t>
      </w:r>
      <w:r w:rsidRPr="00332F77">
        <w:rPr>
          <w:color w:val="000000" w:themeColor="text1"/>
          <w:spacing w:val="1"/>
        </w:rPr>
        <w:t>or</w:t>
      </w:r>
      <w:r w:rsidRPr="00332F77">
        <w:rPr>
          <w:color w:val="000000" w:themeColor="text1"/>
        </w:rPr>
        <w:t xml:space="preserve"> authorize electronic delivery of any of the notices described </w:t>
      </w:r>
      <w:r w:rsidRPr="00332F77">
        <w:rPr>
          <w:color w:val="000000" w:themeColor="text1"/>
          <w:spacing w:val="2"/>
        </w:rPr>
        <w:t>in</w:t>
      </w:r>
      <w:r w:rsidRPr="00332F77">
        <w:rPr>
          <w:color w:val="000000" w:themeColor="text1"/>
        </w:rPr>
        <w:t xml:space="preserve"> Section 103(b) of that act, 15 U.S.C. Section 7003(b)).</w:t>
      </w:r>
    </w:p>
    <w:p w14:paraId="307C7EC3" w14:textId="5AFF5C4B" w:rsidR="008F2E78" w:rsidRPr="00CC0683" w:rsidRDefault="0045781E">
      <w:pPr>
        <w:widowControl w:val="0"/>
        <w:spacing w:line="480" w:lineRule="auto"/>
        <w:rPr>
          <w:color w:val="000000" w:themeColor="text1"/>
        </w:rPr>
      </w:pPr>
      <w:r w:rsidRPr="00332F77">
        <w:rPr>
          <w:color w:val="000000" w:themeColor="text1"/>
        </w:rPr>
        <w:tab/>
      </w:r>
      <w:bookmarkStart w:id="35" w:name="_Toc508983180"/>
      <w:bookmarkStart w:id="36" w:name="_Toc521400065"/>
      <w:bookmarkStart w:id="37" w:name="_Toc526244499"/>
      <w:r w:rsidR="004E08D1" w:rsidRPr="000413E9">
        <w:rPr>
          <w:rStyle w:val="Heading1Char"/>
        </w:rPr>
        <w:t>[</w:t>
      </w:r>
      <w:r w:rsidRPr="000413E9">
        <w:rPr>
          <w:rStyle w:val="Heading1Char"/>
        </w:rPr>
        <w:t>SECTION 11.  SEVERABILITY CLAUSE.</w:t>
      </w:r>
      <w:bookmarkEnd w:id="35"/>
      <w:bookmarkEnd w:id="36"/>
      <w:bookmarkEnd w:id="37"/>
      <w:r w:rsidRPr="00CC0683">
        <w:rPr>
          <w:b/>
          <w:color w:val="000000" w:themeColor="text1"/>
          <w:spacing w:val="57"/>
        </w:rPr>
        <w:t xml:space="preserve"> </w:t>
      </w:r>
      <w:r w:rsidRPr="00CC0683">
        <w:rPr>
          <w:color w:val="000000" w:themeColor="text1"/>
        </w:rPr>
        <w:t xml:space="preserve">If </w:t>
      </w:r>
      <w:r w:rsidRPr="00CC0683">
        <w:rPr>
          <w:color w:val="000000" w:themeColor="text1"/>
          <w:spacing w:val="1"/>
        </w:rPr>
        <w:t>any</w:t>
      </w:r>
      <w:r w:rsidRPr="00CC0683">
        <w:rPr>
          <w:color w:val="000000" w:themeColor="text1"/>
        </w:rPr>
        <w:t xml:space="preserve"> provision of this [act] or its application to </w:t>
      </w:r>
      <w:r w:rsidRPr="00CC0683">
        <w:rPr>
          <w:color w:val="000000" w:themeColor="text1"/>
          <w:spacing w:val="1"/>
        </w:rPr>
        <w:t>any</w:t>
      </w:r>
      <w:r w:rsidRPr="00CC0683">
        <w:rPr>
          <w:color w:val="000000" w:themeColor="text1"/>
        </w:rPr>
        <w:t xml:space="preserve"> person</w:t>
      </w:r>
      <w:r w:rsidRPr="00CC0683">
        <w:rPr>
          <w:color w:val="000000" w:themeColor="text1"/>
          <w:spacing w:val="3"/>
        </w:rPr>
        <w:t xml:space="preserve"> </w:t>
      </w:r>
      <w:r w:rsidRPr="00CC0683">
        <w:rPr>
          <w:color w:val="000000" w:themeColor="text1"/>
        </w:rPr>
        <w:t>or circumstance is held invalid, the invalidity does not affect other provisions or application of this [act] which can</w:t>
      </w:r>
      <w:r w:rsidRPr="00CC0683">
        <w:rPr>
          <w:color w:val="000000" w:themeColor="text1"/>
          <w:spacing w:val="2"/>
        </w:rPr>
        <w:t xml:space="preserve"> </w:t>
      </w:r>
      <w:r w:rsidRPr="00CC0683">
        <w:rPr>
          <w:color w:val="000000" w:themeColor="text1"/>
        </w:rPr>
        <w:t xml:space="preserve">be given effect without </w:t>
      </w:r>
      <w:r w:rsidRPr="00CC0683">
        <w:rPr>
          <w:color w:val="000000" w:themeColor="text1"/>
          <w:spacing w:val="1"/>
        </w:rPr>
        <w:t>the</w:t>
      </w:r>
      <w:r w:rsidRPr="00CC0683">
        <w:rPr>
          <w:color w:val="000000" w:themeColor="text1"/>
        </w:rPr>
        <w:t xml:space="preserve"> invalid provision or application, and to this end the provisions of this [act]</w:t>
      </w:r>
      <w:r w:rsidRPr="00CC0683">
        <w:rPr>
          <w:color w:val="000000" w:themeColor="text1"/>
          <w:spacing w:val="1"/>
        </w:rPr>
        <w:t xml:space="preserve"> </w:t>
      </w:r>
      <w:r w:rsidRPr="00CC0683">
        <w:rPr>
          <w:color w:val="000000" w:themeColor="text1"/>
        </w:rPr>
        <w:t>are severable</w:t>
      </w:r>
      <w:r w:rsidR="004E08D1" w:rsidRPr="00C9196A">
        <w:rPr>
          <w:color w:val="000000" w:themeColor="text1"/>
        </w:rPr>
        <w:t>.]</w:t>
      </w:r>
    </w:p>
    <w:p w14:paraId="320BFD79" w14:textId="12E81FFC" w:rsidR="008F2E78" w:rsidRDefault="0045781E">
      <w:pPr>
        <w:widowControl w:val="0"/>
        <w:rPr>
          <w:i/>
          <w:color w:val="000000" w:themeColor="text1"/>
        </w:rPr>
      </w:pPr>
      <w:r w:rsidRPr="00332F77">
        <w:rPr>
          <w:b/>
          <w:i/>
          <w:color w:val="000000" w:themeColor="text1"/>
        </w:rPr>
        <w:t>Legislative Note:</w:t>
      </w:r>
      <w:r w:rsidRPr="00332F77">
        <w:rPr>
          <w:i/>
          <w:color w:val="000000" w:themeColor="text1"/>
        </w:rPr>
        <w:t xml:space="preserve">  Include this section only if this state lacks a general severability statute or a decision by the highest court of this state stating a general rule of severability.</w:t>
      </w:r>
    </w:p>
    <w:p w14:paraId="6E1FB4B3" w14:textId="77777777" w:rsidR="00BA181D" w:rsidRPr="00332F77" w:rsidRDefault="00BA181D">
      <w:pPr>
        <w:widowControl w:val="0"/>
        <w:rPr>
          <w:color w:val="000000" w:themeColor="text1"/>
        </w:rPr>
      </w:pPr>
    </w:p>
    <w:p w14:paraId="1107E70C" w14:textId="592F315C" w:rsidR="008F2E78" w:rsidRPr="00332F77" w:rsidRDefault="0045781E" w:rsidP="003F55F7">
      <w:pPr>
        <w:pStyle w:val="Heading1"/>
        <w:keepNext/>
        <w:keepLines/>
      </w:pPr>
      <w:r w:rsidRPr="00332F77">
        <w:tab/>
      </w:r>
      <w:bookmarkStart w:id="38" w:name="_Toc526244500"/>
      <w:bookmarkStart w:id="39" w:name="_Toc508983181"/>
      <w:bookmarkStart w:id="40" w:name="_Toc521400066"/>
      <w:r w:rsidRPr="00332F77">
        <w:t>SECTION 12.  REPEALS; CONFORMING AMENDMENTS.</w:t>
      </w:r>
      <w:bookmarkEnd w:id="38"/>
      <w:r w:rsidRPr="00C9196A">
        <w:t xml:space="preserve"> </w:t>
      </w:r>
      <w:r w:rsidRPr="00B30103">
        <w:t xml:space="preserve"> </w:t>
      </w:r>
    </w:p>
    <w:p w14:paraId="773773E6" w14:textId="54F6E316" w:rsidR="008F2E78" w:rsidRPr="004A10FD" w:rsidRDefault="0045781E" w:rsidP="003F55F7">
      <w:pPr>
        <w:keepNext/>
        <w:keepLines/>
        <w:widowControl w:val="0"/>
        <w:spacing w:line="480" w:lineRule="auto"/>
        <w:ind w:left="1080" w:hanging="360"/>
        <w:rPr>
          <w:color w:val="000000" w:themeColor="text1"/>
        </w:rPr>
      </w:pPr>
      <w:r w:rsidRPr="004A10FD">
        <w:rPr>
          <w:color w:val="000000" w:themeColor="text1"/>
        </w:rPr>
        <w:t>(a</w:t>
      </w:r>
      <w:r w:rsidRPr="00C9196A">
        <w:rPr>
          <w:color w:val="000000" w:themeColor="text1"/>
        </w:rPr>
        <w:t>)</w:t>
      </w:r>
      <w:r w:rsidRPr="00C9196A">
        <w:rPr>
          <w:color w:val="000000" w:themeColor="text1"/>
          <w:sz w:val="14"/>
          <w:szCs w:val="14"/>
        </w:rPr>
        <w:t xml:space="preserve">   </w:t>
      </w:r>
      <w:r w:rsidRPr="00C9196A">
        <w:rPr>
          <w:color w:val="000000" w:themeColor="text1"/>
        </w:rPr>
        <w:t>….</w:t>
      </w:r>
    </w:p>
    <w:p w14:paraId="256635C4" w14:textId="314779E7" w:rsidR="008F2E78" w:rsidRPr="004A10FD" w:rsidRDefault="0045781E" w:rsidP="004A10FD">
      <w:pPr>
        <w:widowControl w:val="0"/>
        <w:spacing w:line="480" w:lineRule="auto"/>
        <w:ind w:left="1080" w:hanging="360"/>
        <w:rPr>
          <w:color w:val="000000" w:themeColor="text1"/>
        </w:rPr>
      </w:pPr>
      <w:r w:rsidRPr="004A10FD">
        <w:rPr>
          <w:color w:val="000000" w:themeColor="text1"/>
        </w:rPr>
        <w:t>(b</w:t>
      </w:r>
      <w:r w:rsidRPr="00C9196A">
        <w:rPr>
          <w:color w:val="000000" w:themeColor="text1"/>
        </w:rPr>
        <w:t>)</w:t>
      </w:r>
      <w:r w:rsidRPr="00C9196A">
        <w:rPr>
          <w:color w:val="000000" w:themeColor="text1"/>
          <w:sz w:val="14"/>
          <w:szCs w:val="14"/>
        </w:rPr>
        <w:t xml:space="preserve">   </w:t>
      </w:r>
      <w:r w:rsidRPr="00C9196A">
        <w:rPr>
          <w:color w:val="000000" w:themeColor="text1"/>
        </w:rPr>
        <w:t>…..</w:t>
      </w:r>
    </w:p>
    <w:p w14:paraId="1D34F502" w14:textId="3BE2379E" w:rsidR="008F2E78" w:rsidRPr="00C9196A" w:rsidRDefault="0045781E" w:rsidP="000413E9">
      <w:pPr>
        <w:widowControl w:val="0"/>
        <w:rPr>
          <w:color w:val="000000" w:themeColor="text1"/>
        </w:rPr>
      </w:pPr>
      <w:r w:rsidRPr="004A10FD">
        <w:rPr>
          <w:b/>
          <w:i/>
          <w:color w:val="000000" w:themeColor="text1"/>
        </w:rPr>
        <w:t>Legislative Note:</w:t>
      </w:r>
      <w:r w:rsidRPr="00B30103">
        <w:rPr>
          <w:i/>
          <w:color w:val="000000" w:themeColor="text1"/>
        </w:rPr>
        <w:t xml:space="preserve"> The Uniform Regulation of Virtual-Currency Businesses Act should be amended to repeal Section 502 of that act and to change references to </w:t>
      </w:r>
      <w:r w:rsidR="004A10FD" w:rsidRPr="004A10FD">
        <w:rPr>
          <w:bCs/>
          <w:i/>
          <w:iCs/>
          <w:color w:val="000000" w:themeColor="text1"/>
        </w:rPr>
        <w:t>Section</w:t>
      </w:r>
      <w:r w:rsidRPr="00B30103">
        <w:rPr>
          <w:i/>
          <w:color w:val="000000" w:themeColor="text1"/>
        </w:rPr>
        <w:t xml:space="preserve"> 502 to references to this act. </w:t>
      </w:r>
      <w:bookmarkEnd w:id="1"/>
      <w:bookmarkEnd w:id="39"/>
      <w:bookmarkEnd w:id="40"/>
      <w:r w:rsidRPr="00C9196A">
        <w:rPr>
          <w:i/>
          <w:iCs/>
          <w:color w:val="000000" w:themeColor="text1"/>
        </w:rPr>
        <w:t>Any provision of this state’s money transmission statute that may apply to virtual currency should be amended or repealed.</w:t>
      </w:r>
    </w:p>
    <w:p w14:paraId="13A80135" w14:textId="77777777" w:rsidR="008F2E78" w:rsidRPr="00C9196A" w:rsidRDefault="008F2E78">
      <w:pPr>
        <w:rPr>
          <w:color w:val="000000" w:themeColor="text1"/>
        </w:rPr>
      </w:pPr>
    </w:p>
    <w:p w14:paraId="2F42F990" w14:textId="09F885DC" w:rsidR="008F2E78" w:rsidRPr="00332F77" w:rsidRDefault="0045781E" w:rsidP="00B30103">
      <w:pPr>
        <w:widowControl w:val="0"/>
        <w:spacing w:line="480" w:lineRule="auto"/>
        <w:rPr>
          <w:color w:val="000000" w:themeColor="text1"/>
        </w:rPr>
      </w:pPr>
      <w:r w:rsidRPr="00C9196A">
        <w:rPr>
          <w:color w:val="000000" w:themeColor="text1"/>
        </w:rPr>
        <w:tab/>
      </w:r>
      <w:bookmarkStart w:id="41" w:name="_Toc521400067"/>
      <w:bookmarkStart w:id="42" w:name="_Toc526244501"/>
      <w:r w:rsidRPr="000413E9">
        <w:rPr>
          <w:rStyle w:val="Heading1Char"/>
        </w:rPr>
        <w:t>SECTION 13.</w:t>
      </w:r>
      <w:bookmarkEnd w:id="41"/>
      <w:r w:rsidRPr="000413E9">
        <w:rPr>
          <w:rStyle w:val="Heading1Char"/>
        </w:rPr>
        <w:t xml:space="preserve"> EFFECTIVE DATE.</w:t>
      </w:r>
      <w:bookmarkEnd w:id="42"/>
      <w:r w:rsidRPr="00CC0683">
        <w:rPr>
          <w:b/>
          <w:color w:val="000000" w:themeColor="text1"/>
        </w:rPr>
        <w:t xml:space="preserve">  </w:t>
      </w:r>
      <w:r w:rsidRPr="00332F77">
        <w:rPr>
          <w:color w:val="000000" w:themeColor="text1"/>
        </w:rPr>
        <w:t xml:space="preserve">This [act] takes effect </w:t>
      </w:r>
      <w:r w:rsidRPr="00CC0683">
        <w:rPr>
          <w:color w:val="000000" w:themeColor="text1"/>
        </w:rPr>
        <w:t>. . . .</w:t>
      </w:r>
    </w:p>
    <w:p w14:paraId="376CE2B4" w14:textId="695E7304" w:rsidR="008F2E78" w:rsidRPr="00CC0683" w:rsidRDefault="0045781E" w:rsidP="00B30103">
      <w:pPr>
        <w:widowControl w:val="0"/>
        <w:rPr>
          <w:color w:val="000000" w:themeColor="text1"/>
        </w:rPr>
      </w:pPr>
      <w:r w:rsidRPr="00332F77">
        <w:rPr>
          <w:b/>
          <w:i/>
          <w:color w:val="000000" w:themeColor="text1"/>
        </w:rPr>
        <w:lastRenderedPageBreak/>
        <w:t>Legislative Note:</w:t>
      </w:r>
      <w:r w:rsidRPr="00332F77">
        <w:rPr>
          <w:i/>
          <w:color w:val="000000" w:themeColor="text1"/>
        </w:rPr>
        <w:t xml:space="preserve"> The effective date of this act </w:t>
      </w:r>
      <w:r w:rsidRPr="00CC0683">
        <w:rPr>
          <w:i/>
          <w:color w:val="000000" w:themeColor="text1"/>
        </w:rPr>
        <w:t xml:space="preserve">should not be </w:t>
      </w:r>
      <w:r w:rsidR="004E08D1" w:rsidRPr="00C9196A">
        <w:rPr>
          <w:i/>
          <w:iCs/>
          <w:color w:val="000000" w:themeColor="text1"/>
        </w:rPr>
        <w:t>before</w:t>
      </w:r>
      <w:r w:rsidRPr="00CC0683">
        <w:rPr>
          <w:i/>
          <w:color w:val="000000" w:themeColor="text1"/>
        </w:rPr>
        <w:t xml:space="preserve"> the effective </w:t>
      </w:r>
      <w:r w:rsidRPr="00332F77">
        <w:rPr>
          <w:i/>
          <w:color w:val="000000" w:themeColor="text1"/>
        </w:rPr>
        <w:t xml:space="preserve">date of the Uniform Regulation of Virtual-Currency Businesses </w:t>
      </w:r>
      <w:r w:rsidR="00CC0683">
        <w:rPr>
          <w:i/>
          <w:iCs/>
          <w:color w:val="000000" w:themeColor="text1"/>
        </w:rPr>
        <w:t>Act.</w:t>
      </w:r>
    </w:p>
    <w:sectPr w:rsidR="008F2E78" w:rsidRPr="00CC0683" w:rsidSect="00BA181D">
      <w:footerReference w:type="default" r:id="rId8"/>
      <w:footerReference w:type="first" r:id="rId9"/>
      <w:pgSz w:w="12240" w:h="15840"/>
      <w:pgMar w:top="1440" w:right="1440" w:bottom="1440" w:left="1440" w:header="708" w:footer="70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5B32E" w14:textId="77777777" w:rsidR="004517A7" w:rsidRDefault="004517A7">
      <w:r>
        <w:separator/>
      </w:r>
    </w:p>
  </w:endnote>
  <w:endnote w:type="continuationSeparator" w:id="0">
    <w:p w14:paraId="78905650" w14:textId="77777777" w:rsidR="004517A7" w:rsidRDefault="004517A7">
      <w:r>
        <w:continuationSeparator/>
      </w:r>
    </w:p>
  </w:endnote>
  <w:endnote w:type="continuationNotice" w:id="1">
    <w:p w14:paraId="09E10498" w14:textId="77777777" w:rsidR="004517A7" w:rsidRDefault="004517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117187"/>
      <w:placeholder>
        <w:docPart w:val="DefaultPlaceholder_22675703"/>
      </w:placeholder>
    </w:sdtPr>
    <w:sdtEndPr/>
    <w:sdtContent>
      <w:p w14:paraId="7E6034F4" w14:textId="15C4C6D5" w:rsidR="00350349" w:rsidRDefault="00350349">
        <w:pPr>
          <w:jc w:val="center"/>
        </w:pPr>
        <w:r>
          <w:fldChar w:fldCharType="begin"/>
        </w:r>
        <w:r>
          <w:instrText xml:space="preserve"> PAGE   \* MERGEFORMAT </w:instrText>
        </w:r>
        <w:r>
          <w:fldChar w:fldCharType="separate"/>
        </w:r>
        <w:r w:rsidR="00B063AA">
          <w:rPr>
            <w:noProof/>
          </w:rPr>
          <w:t>17</w:t>
        </w:r>
        <w:r>
          <w:fldChar w:fldCharType="end"/>
        </w:r>
      </w:p>
    </w:sdtContent>
  </w:sdt>
  <w:p w14:paraId="4BDC755E" w14:textId="77777777" w:rsidR="00350349" w:rsidRDefault="0035034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3030149"/>
      <w:docPartObj>
        <w:docPartGallery w:val="Page Numbers (Bottom of Page)"/>
        <w:docPartUnique/>
      </w:docPartObj>
    </w:sdtPr>
    <w:sdtEndPr>
      <w:rPr>
        <w:noProof/>
      </w:rPr>
    </w:sdtEndPr>
    <w:sdtContent>
      <w:p w14:paraId="2926CC14" w14:textId="71548767" w:rsidR="000830EB" w:rsidRDefault="000830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EFEB36" w14:textId="77777777" w:rsidR="000830EB" w:rsidRDefault="00083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EA476" w14:textId="77777777" w:rsidR="004517A7" w:rsidRDefault="004517A7">
      <w:r>
        <w:separator/>
      </w:r>
    </w:p>
  </w:footnote>
  <w:footnote w:type="continuationSeparator" w:id="0">
    <w:p w14:paraId="07030789" w14:textId="77777777" w:rsidR="004517A7" w:rsidRDefault="004517A7">
      <w:r>
        <w:continuationSeparator/>
      </w:r>
    </w:p>
  </w:footnote>
  <w:footnote w:type="continuationNotice" w:id="1">
    <w:p w14:paraId="58D2AEF3" w14:textId="77777777" w:rsidR="004517A7" w:rsidRDefault="004517A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7DAEDDF2">
      <w:start w:val="1"/>
      <w:numFmt w:val="bullet"/>
      <w:lvlText w:val=""/>
      <w:lvlJc w:val="left"/>
      <w:pPr>
        <w:ind w:left="720" w:hanging="360"/>
      </w:pPr>
      <w:rPr>
        <w:rFonts w:ascii="Symbol" w:hAnsi="Symbol"/>
        <w:b w:val="0"/>
        <w:bCs w:val="0"/>
      </w:rPr>
    </w:lvl>
    <w:lvl w:ilvl="1" w:tplc="141E3A8E">
      <w:start w:val="1"/>
      <w:numFmt w:val="bullet"/>
      <w:lvlText w:val="o"/>
      <w:lvlJc w:val="left"/>
      <w:pPr>
        <w:tabs>
          <w:tab w:val="num" w:pos="1440"/>
        </w:tabs>
        <w:ind w:left="1440" w:hanging="360"/>
      </w:pPr>
      <w:rPr>
        <w:rFonts w:ascii="Courier New" w:hAnsi="Courier New"/>
      </w:rPr>
    </w:lvl>
    <w:lvl w:ilvl="2" w:tplc="D90088AC">
      <w:start w:val="1"/>
      <w:numFmt w:val="bullet"/>
      <w:lvlText w:val=""/>
      <w:lvlJc w:val="left"/>
      <w:pPr>
        <w:tabs>
          <w:tab w:val="num" w:pos="2160"/>
        </w:tabs>
        <w:ind w:left="2160" w:hanging="360"/>
      </w:pPr>
      <w:rPr>
        <w:rFonts w:ascii="Wingdings" w:hAnsi="Wingdings"/>
      </w:rPr>
    </w:lvl>
    <w:lvl w:ilvl="3" w:tplc="BE92636C">
      <w:start w:val="1"/>
      <w:numFmt w:val="bullet"/>
      <w:lvlText w:val=""/>
      <w:lvlJc w:val="left"/>
      <w:pPr>
        <w:tabs>
          <w:tab w:val="num" w:pos="2880"/>
        </w:tabs>
        <w:ind w:left="2880" w:hanging="360"/>
      </w:pPr>
      <w:rPr>
        <w:rFonts w:ascii="Symbol" w:hAnsi="Symbol"/>
      </w:rPr>
    </w:lvl>
    <w:lvl w:ilvl="4" w:tplc="973C3D9E">
      <w:start w:val="1"/>
      <w:numFmt w:val="bullet"/>
      <w:lvlText w:val="o"/>
      <w:lvlJc w:val="left"/>
      <w:pPr>
        <w:tabs>
          <w:tab w:val="num" w:pos="3600"/>
        </w:tabs>
        <w:ind w:left="3600" w:hanging="360"/>
      </w:pPr>
      <w:rPr>
        <w:rFonts w:ascii="Courier New" w:hAnsi="Courier New"/>
      </w:rPr>
    </w:lvl>
    <w:lvl w:ilvl="5" w:tplc="4894D38A">
      <w:start w:val="1"/>
      <w:numFmt w:val="bullet"/>
      <w:lvlText w:val=""/>
      <w:lvlJc w:val="left"/>
      <w:pPr>
        <w:tabs>
          <w:tab w:val="num" w:pos="4320"/>
        </w:tabs>
        <w:ind w:left="4320" w:hanging="360"/>
      </w:pPr>
      <w:rPr>
        <w:rFonts w:ascii="Wingdings" w:hAnsi="Wingdings"/>
      </w:rPr>
    </w:lvl>
    <w:lvl w:ilvl="6" w:tplc="F286C540">
      <w:start w:val="1"/>
      <w:numFmt w:val="bullet"/>
      <w:lvlText w:val=""/>
      <w:lvlJc w:val="left"/>
      <w:pPr>
        <w:tabs>
          <w:tab w:val="num" w:pos="5040"/>
        </w:tabs>
        <w:ind w:left="5040" w:hanging="360"/>
      </w:pPr>
      <w:rPr>
        <w:rFonts w:ascii="Symbol" w:hAnsi="Symbol"/>
      </w:rPr>
    </w:lvl>
    <w:lvl w:ilvl="7" w:tplc="A970D28E">
      <w:start w:val="1"/>
      <w:numFmt w:val="bullet"/>
      <w:lvlText w:val="o"/>
      <w:lvlJc w:val="left"/>
      <w:pPr>
        <w:tabs>
          <w:tab w:val="num" w:pos="5760"/>
        </w:tabs>
        <w:ind w:left="5760" w:hanging="360"/>
      </w:pPr>
      <w:rPr>
        <w:rFonts w:ascii="Courier New" w:hAnsi="Courier New"/>
      </w:rPr>
    </w:lvl>
    <w:lvl w:ilvl="8" w:tplc="1A8CD99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5F9C7A3C">
      <w:start w:val="1"/>
      <w:numFmt w:val="bullet"/>
      <w:lvlText w:val=""/>
      <w:lvlJc w:val="left"/>
      <w:pPr>
        <w:ind w:left="720" w:hanging="360"/>
      </w:pPr>
      <w:rPr>
        <w:rFonts w:ascii="Symbol" w:hAnsi="Symbol"/>
        <w:b w:val="0"/>
        <w:bCs w:val="0"/>
      </w:rPr>
    </w:lvl>
    <w:lvl w:ilvl="1" w:tplc="BC102736">
      <w:start w:val="1"/>
      <w:numFmt w:val="bullet"/>
      <w:lvlText w:val="o"/>
      <w:lvlJc w:val="left"/>
      <w:pPr>
        <w:tabs>
          <w:tab w:val="num" w:pos="1440"/>
        </w:tabs>
        <w:ind w:left="1440" w:hanging="360"/>
      </w:pPr>
      <w:rPr>
        <w:rFonts w:ascii="Courier New" w:hAnsi="Courier New"/>
      </w:rPr>
    </w:lvl>
    <w:lvl w:ilvl="2" w:tplc="C952F118">
      <w:start w:val="1"/>
      <w:numFmt w:val="bullet"/>
      <w:lvlText w:val=""/>
      <w:lvlJc w:val="left"/>
      <w:pPr>
        <w:tabs>
          <w:tab w:val="num" w:pos="2160"/>
        </w:tabs>
        <w:ind w:left="2160" w:hanging="360"/>
      </w:pPr>
      <w:rPr>
        <w:rFonts w:ascii="Wingdings" w:hAnsi="Wingdings"/>
      </w:rPr>
    </w:lvl>
    <w:lvl w:ilvl="3" w:tplc="E896819C">
      <w:start w:val="1"/>
      <w:numFmt w:val="bullet"/>
      <w:lvlText w:val=""/>
      <w:lvlJc w:val="left"/>
      <w:pPr>
        <w:tabs>
          <w:tab w:val="num" w:pos="2880"/>
        </w:tabs>
        <w:ind w:left="2880" w:hanging="360"/>
      </w:pPr>
      <w:rPr>
        <w:rFonts w:ascii="Symbol" w:hAnsi="Symbol"/>
      </w:rPr>
    </w:lvl>
    <w:lvl w:ilvl="4" w:tplc="C41C0002">
      <w:start w:val="1"/>
      <w:numFmt w:val="bullet"/>
      <w:lvlText w:val="o"/>
      <w:lvlJc w:val="left"/>
      <w:pPr>
        <w:tabs>
          <w:tab w:val="num" w:pos="3600"/>
        </w:tabs>
        <w:ind w:left="3600" w:hanging="360"/>
      </w:pPr>
      <w:rPr>
        <w:rFonts w:ascii="Courier New" w:hAnsi="Courier New"/>
      </w:rPr>
    </w:lvl>
    <w:lvl w:ilvl="5" w:tplc="A6127AD2">
      <w:start w:val="1"/>
      <w:numFmt w:val="bullet"/>
      <w:lvlText w:val=""/>
      <w:lvlJc w:val="left"/>
      <w:pPr>
        <w:tabs>
          <w:tab w:val="num" w:pos="4320"/>
        </w:tabs>
        <w:ind w:left="4320" w:hanging="360"/>
      </w:pPr>
      <w:rPr>
        <w:rFonts w:ascii="Wingdings" w:hAnsi="Wingdings"/>
      </w:rPr>
    </w:lvl>
    <w:lvl w:ilvl="6" w:tplc="690C4830">
      <w:start w:val="1"/>
      <w:numFmt w:val="bullet"/>
      <w:lvlText w:val=""/>
      <w:lvlJc w:val="left"/>
      <w:pPr>
        <w:tabs>
          <w:tab w:val="num" w:pos="5040"/>
        </w:tabs>
        <w:ind w:left="5040" w:hanging="360"/>
      </w:pPr>
      <w:rPr>
        <w:rFonts w:ascii="Symbol" w:hAnsi="Symbol"/>
      </w:rPr>
    </w:lvl>
    <w:lvl w:ilvl="7" w:tplc="A7F60124">
      <w:start w:val="1"/>
      <w:numFmt w:val="bullet"/>
      <w:lvlText w:val="o"/>
      <w:lvlJc w:val="left"/>
      <w:pPr>
        <w:tabs>
          <w:tab w:val="num" w:pos="5760"/>
        </w:tabs>
        <w:ind w:left="5760" w:hanging="360"/>
      </w:pPr>
      <w:rPr>
        <w:rFonts w:ascii="Courier New" w:hAnsi="Courier New"/>
      </w:rPr>
    </w:lvl>
    <w:lvl w:ilvl="8" w:tplc="0D689764">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45B6A69A">
      <w:start w:val="1"/>
      <w:numFmt w:val="bullet"/>
      <w:lvlText w:val=""/>
      <w:lvlJc w:val="left"/>
      <w:pPr>
        <w:ind w:left="720" w:hanging="360"/>
      </w:pPr>
      <w:rPr>
        <w:rFonts w:ascii="Symbol" w:hAnsi="Symbol"/>
        <w:b w:val="0"/>
        <w:bCs w:val="0"/>
      </w:rPr>
    </w:lvl>
    <w:lvl w:ilvl="1" w:tplc="F6B2A850">
      <w:start w:val="1"/>
      <w:numFmt w:val="bullet"/>
      <w:lvlText w:val="o"/>
      <w:lvlJc w:val="left"/>
      <w:pPr>
        <w:tabs>
          <w:tab w:val="num" w:pos="1440"/>
        </w:tabs>
        <w:ind w:left="1440" w:hanging="360"/>
      </w:pPr>
      <w:rPr>
        <w:rFonts w:ascii="Courier New" w:hAnsi="Courier New"/>
      </w:rPr>
    </w:lvl>
    <w:lvl w:ilvl="2" w:tplc="B5EC98AE">
      <w:start w:val="1"/>
      <w:numFmt w:val="bullet"/>
      <w:lvlText w:val=""/>
      <w:lvlJc w:val="left"/>
      <w:pPr>
        <w:tabs>
          <w:tab w:val="num" w:pos="2160"/>
        </w:tabs>
        <w:ind w:left="2160" w:hanging="360"/>
      </w:pPr>
      <w:rPr>
        <w:rFonts w:ascii="Wingdings" w:hAnsi="Wingdings"/>
      </w:rPr>
    </w:lvl>
    <w:lvl w:ilvl="3" w:tplc="CFBAB668">
      <w:start w:val="1"/>
      <w:numFmt w:val="bullet"/>
      <w:lvlText w:val=""/>
      <w:lvlJc w:val="left"/>
      <w:pPr>
        <w:tabs>
          <w:tab w:val="num" w:pos="2880"/>
        </w:tabs>
        <w:ind w:left="2880" w:hanging="360"/>
      </w:pPr>
      <w:rPr>
        <w:rFonts w:ascii="Symbol" w:hAnsi="Symbol"/>
      </w:rPr>
    </w:lvl>
    <w:lvl w:ilvl="4" w:tplc="630ACDE2">
      <w:start w:val="1"/>
      <w:numFmt w:val="bullet"/>
      <w:lvlText w:val="o"/>
      <w:lvlJc w:val="left"/>
      <w:pPr>
        <w:tabs>
          <w:tab w:val="num" w:pos="3600"/>
        </w:tabs>
        <w:ind w:left="3600" w:hanging="360"/>
      </w:pPr>
      <w:rPr>
        <w:rFonts w:ascii="Courier New" w:hAnsi="Courier New"/>
      </w:rPr>
    </w:lvl>
    <w:lvl w:ilvl="5" w:tplc="E404344C">
      <w:start w:val="1"/>
      <w:numFmt w:val="bullet"/>
      <w:lvlText w:val=""/>
      <w:lvlJc w:val="left"/>
      <w:pPr>
        <w:tabs>
          <w:tab w:val="num" w:pos="4320"/>
        </w:tabs>
        <w:ind w:left="4320" w:hanging="360"/>
      </w:pPr>
      <w:rPr>
        <w:rFonts w:ascii="Wingdings" w:hAnsi="Wingdings"/>
      </w:rPr>
    </w:lvl>
    <w:lvl w:ilvl="6" w:tplc="BEAC502A">
      <w:start w:val="1"/>
      <w:numFmt w:val="bullet"/>
      <w:lvlText w:val=""/>
      <w:lvlJc w:val="left"/>
      <w:pPr>
        <w:tabs>
          <w:tab w:val="num" w:pos="5040"/>
        </w:tabs>
        <w:ind w:left="5040" w:hanging="360"/>
      </w:pPr>
      <w:rPr>
        <w:rFonts w:ascii="Symbol" w:hAnsi="Symbol"/>
      </w:rPr>
    </w:lvl>
    <w:lvl w:ilvl="7" w:tplc="C854DD8A">
      <w:start w:val="1"/>
      <w:numFmt w:val="bullet"/>
      <w:lvlText w:val="o"/>
      <w:lvlJc w:val="left"/>
      <w:pPr>
        <w:tabs>
          <w:tab w:val="num" w:pos="5760"/>
        </w:tabs>
        <w:ind w:left="5760" w:hanging="360"/>
      </w:pPr>
      <w:rPr>
        <w:rFonts w:ascii="Courier New" w:hAnsi="Courier New"/>
      </w:rPr>
    </w:lvl>
    <w:lvl w:ilvl="8" w:tplc="98987EA0">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B4A80EFE">
      <w:start w:val="1"/>
      <w:numFmt w:val="bullet"/>
      <w:lvlText w:val=""/>
      <w:lvlJc w:val="left"/>
      <w:pPr>
        <w:ind w:left="720" w:hanging="360"/>
      </w:pPr>
      <w:rPr>
        <w:rFonts w:ascii="Symbol" w:hAnsi="Symbol"/>
        <w:b w:val="0"/>
        <w:bCs w:val="0"/>
      </w:rPr>
    </w:lvl>
    <w:lvl w:ilvl="1" w:tplc="7868C5DE">
      <w:start w:val="1"/>
      <w:numFmt w:val="bullet"/>
      <w:lvlText w:val="o"/>
      <w:lvlJc w:val="left"/>
      <w:pPr>
        <w:tabs>
          <w:tab w:val="num" w:pos="1440"/>
        </w:tabs>
        <w:ind w:left="1440" w:hanging="360"/>
      </w:pPr>
      <w:rPr>
        <w:rFonts w:ascii="Courier New" w:hAnsi="Courier New"/>
      </w:rPr>
    </w:lvl>
    <w:lvl w:ilvl="2" w:tplc="64EC2EB0">
      <w:start w:val="1"/>
      <w:numFmt w:val="bullet"/>
      <w:lvlText w:val=""/>
      <w:lvlJc w:val="left"/>
      <w:pPr>
        <w:tabs>
          <w:tab w:val="num" w:pos="2160"/>
        </w:tabs>
        <w:ind w:left="2160" w:hanging="360"/>
      </w:pPr>
      <w:rPr>
        <w:rFonts w:ascii="Wingdings" w:hAnsi="Wingdings"/>
      </w:rPr>
    </w:lvl>
    <w:lvl w:ilvl="3" w:tplc="8FCE7DD6">
      <w:start w:val="1"/>
      <w:numFmt w:val="bullet"/>
      <w:lvlText w:val=""/>
      <w:lvlJc w:val="left"/>
      <w:pPr>
        <w:tabs>
          <w:tab w:val="num" w:pos="2880"/>
        </w:tabs>
        <w:ind w:left="2880" w:hanging="360"/>
      </w:pPr>
      <w:rPr>
        <w:rFonts w:ascii="Symbol" w:hAnsi="Symbol"/>
      </w:rPr>
    </w:lvl>
    <w:lvl w:ilvl="4" w:tplc="EE62CD7A">
      <w:start w:val="1"/>
      <w:numFmt w:val="bullet"/>
      <w:lvlText w:val="o"/>
      <w:lvlJc w:val="left"/>
      <w:pPr>
        <w:tabs>
          <w:tab w:val="num" w:pos="3600"/>
        </w:tabs>
        <w:ind w:left="3600" w:hanging="360"/>
      </w:pPr>
      <w:rPr>
        <w:rFonts w:ascii="Courier New" w:hAnsi="Courier New"/>
      </w:rPr>
    </w:lvl>
    <w:lvl w:ilvl="5" w:tplc="58564BE4">
      <w:start w:val="1"/>
      <w:numFmt w:val="bullet"/>
      <w:lvlText w:val=""/>
      <w:lvlJc w:val="left"/>
      <w:pPr>
        <w:tabs>
          <w:tab w:val="num" w:pos="4320"/>
        </w:tabs>
        <w:ind w:left="4320" w:hanging="360"/>
      </w:pPr>
      <w:rPr>
        <w:rFonts w:ascii="Wingdings" w:hAnsi="Wingdings"/>
      </w:rPr>
    </w:lvl>
    <w:lvl w:ilvl="6" w:tplc="DF2087B2">
      <w:start w:val="1"/>
      <w:numFmt w:val="bullet"/>
      <w:lvlText w:val=""/>
      <w:lvlJc w:val="left"/>
      <w:pPr>
        <w:tabs>
          <w:tab w:val="num" w:pos="5040"/>
        </w:tabs>
        <w:ind w:left="5040" w:hanging="360"/>
      </w:pPr>
      <w:rPr>
        <w:rFonts w:ascii="Symbol" w:hAnsi="Symbol"/>
      </w:rPr>
    </w:lvl>
    <w:lvl w:ilvl="7" w:tplc="549AFB3A">
      <w:start w:val="1"/>
      <w:numFmt w:val="bullet"/>
      <w:lvlText w:val="o"/>
      <w:lvlJc w:val="left"/>
      <w:pPr>
        <w:tabs>
          <w:tab w:val="num" w:pos="5760"/>
        </w:tabs>
        <w:ind w:left="5760" w:hanging="360"/>
      </w:pPr>
      <w:rPr>
        <w:rFonts w:ascii="Courier New" w:hAnsi="Courier New"/>
      </w:rPr>
    </w:lvl>
    <w:lvl w:ilvl="8" w:tplc="7B722314">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887C81AA">
      <w:start w:val="1"/>
      <w:numFmt w:val="bullet"/>
      <w:lvlText w:val=""/>
      <w:lvlJc w:val="left"/>
      <w:pPr>
        <w:ind w:left="720" w:hanging="360"/>
      </w:pPr>
      <w:rPr>
        <w:rFonts w:ascii="Symbol" w:hAnsi="Symbol"/>
        <w:b w:val="0"/>
        <w:bCs w:val="0"/>
      </w:rPr>
    </w:lvl>
    <w:lvl w:ilvl="1" w:tplc="E7A6534E">
      <w:start w:val="1"/>
      <w:numFmt w:val="bullet"/>
      <w:lvlText w:val="o"/>
      <w:lvlJc w:val="left"/>
      <w:pPr>
        <w:tabs>
          <w:tab w:val="num" w:pos="1440"/>
        </w:tabs>
        <w:ind w:left="1440" w:hanging="360"/>
      </w:pPr>
      <w:rPr>
        <w:rFonts w:ascii="Courier New" w:hAnsi="Courier New"/>
      </w:rPr>
    </w:lvl>
    <w:lvl w:ilvl="2" w:tplc="28967D22">
      <w:start w:val="1"/>
      <w:numFmt w:val="bullet"/>
      <w:lvlText w:val=""/>
      <w:lvlJc w:val="left"/>
      <w:pPr>
        <w:tabs>
          <w:tab w:val="num" w:pos="2160"/>
        </w:tabs>
        <w:ind w:left="2160" w:hanging="360"/>
      </w:pPr>
      <w:rPr>
        <w:rFonts w:ascii="Wingdings" w:hAnsi="Wingdings"/>
      </w:rPr>
    </w:lvl>
    <w:lvl w:ilvl="3" w:tplc="165E92CE">
      <w:start w:val="1"/>
      <w:numFmt w:val="bullet"/>
      <w:lvlText w:val=""/>
      <w:lvlJc w:val="left"/>
      <w:pPr>
        <w:tabs>
          <w:tab w:val="num" w:pos="2880"/>
        </w:tabs>
        <w:ind w:left="2880" w:hanging="360"/>
      </w:pPr>
      <w:rPr>
        <w:rFonts w:ascii="Symbol" w:hAnsi="Symbol"/>
      </w:rPr>
    </w:lvl>
    <w:lvl w:ilvl="4" w:tplc="4E0207A8">
      <w:start w:val="1"/>
      <w:numFmt w:val="bullet"/>
      <w:lvlText w:val="o"/>
      <w:lvlJc w:val="left"/>
      <w:pPr>
        <w:tabs>
          <w:tab w:val="num" w:pos="3600"/>
        </w:tabs>
        <w:ind w:left="3600" w:hanging="360"/>
      </w:pPr>
      <w:rPr>
        <w:rFonts w:ascii="Courier New" w:hAnsi="Courier New"/>
      </w:rPr>
    </w:lvl>
    <w:lvl w:ilvl="5" w:tplc="36106090">
      <w:start w:val="1"/>
      <w:numFmt w:val="bullet"/>
      <w:lvlText w:val=""/>
      <w:lvlJc w:val="left"/>
      <w:pPr>
        <w:tabs>
          <w:tab w:val="num" w:pos="4320"/>
        </w:tabs>
        <w:ind w:left="4320" w:hanging="360"/>
      </w:pPr>
      <w:rPr>
        <w:rFonts w:ascii="Wingdings" w:hAnsi="Wingdings"/>
      </w:rPr>
    </w:lvl>
    <w:lvl w:ilvl="6" w:tplc="E44AA266">
      <w:start w:val="1"/>
      <w:numFmt w:val="bullet"/>
      <w:lvlText w:val=""/>
      <w:lvlJc w:val="left"/>
      <w:pPr>
        <w:tabs>
          <w:tab w:val="num" w:pos="5040"/>
        </w:tabs>
        <w:ind w:left="5040" w:hanging="360"/>
      </w:pPr>
      <w:rPr>
        <w:rFonts w:ascii="Symbol" w:hAnsi="Symbol"/>
      </w:rPr>
    </w:lvl>
    <w:lvl w:ilvl="7" w:tplc="CE647AA2">
      <w:start w:val="1"/>
      <w:numFmt w:val="bullet"/>
      <w:lvlText w:val="o"/>
      <w:lvlJc w:val="left"/>
      <w:pPr>
        <w:tabs>
          <w:tab w:val="num" w:pos="5760"/>
        </w:tabs>
        <w:ind w:left="5760" w:hanging="360"/>
      </w:pPr>
      <w:rPr>
        <w:rFonts w:ascii="Courier New" w:hAnsi="Courier New"/>
      </w:rPr>
    </w:lvl>
    <w:lvl w:ilvl="8" w:tplc="2F76422C">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1804BF04">
      <w:start w:val="1"/>
      <w:numFmt w:val="bullet"/>
      <w:lvlText w:val=""/>
      <w:lvlJc w:val="left"/>
      <w:pPr>
        <w:ind w:left="720" w:hanging="360"/>
      </w:pPr>
      <w:rPr>
        <w:rFonts w:ascii="Symbol" w:hAnsi="Symbol"/>
        <w:b w:val="0"/>
        <w:bCs w:val="0"/>
      </w:rPr>
    </w:lvl>
    <w:lvl w:ilvl="1" w:tplc="B30A1D26">
      <w:start w:val="1"/>
      <w:numFmt w:val="bullet"/>
      <w:lvlText w:val="o"/>
      <w:lvlJc w:val="left"/>
      <w:pPr>
        <w:tabs>
          <w:tab w:val="num" w:pos="1440"/>
        </w:tabs>
        <w:ind w:left="1440" w:hanging="360"/>
      </w:pPr>
      <w:rPr>
        <w:rFonts w:ascii="Courier New" w:hAnsi="Courier New"/>
      </w:rPr>
    </w:lvl>
    <w:lvl w:ilvl="2" w:tplc="822AFBE6">
      <w:start w:val="1"/>
      <w:numFmt w:val="bullet"/>
      <w:lvlText w:val=""/>
      <w:lvlJc w:val="left"/>
      <w:pPr>
        <w:tabs>
          <w:tab w:val="num" w:pos="2160"/>
        </w:tabs>
        <w:ind w:left="2160" w:hanging="360"/>
      </w:pPr>
      <w:rPr>
        <w:rFonts w:ascii="Wingdings" w:hAnsi="Wingdings"/>
      </w:rPr>
    </w:lvl>
    <w:lvl w:ilvl="3" w:tplc="5E184B6A">
      <w:start w:val="1"/>
      <w:numFmt w:val="bullet"/>
      <w:lvlText w:val=""/>
      <w:lvlJc w:val="left"/>
      <w:pPr>
        <w:tabs>
          <w:tab w:val="num" w:pos="2880"/>
        </w:tabs>
        <w:ind w:left="2880" w:hanging="360"/>
      </w:pPr>
      <w:rPr>
        <w:rFonts w:ascii="Symbol" w:hAnsi="Symbol"/>
      </w:rPr>
    </w:lvl>
    <w:lvl w:ilvl="4" w:tplc="745C4C7C">
      <w:start w:val="1"/>
      <w:numFmt w:val="bullet"/>
      <w:lvlText w:val="o"/>
      <w:lvlJc w:val="left"/>
      <w:pPr>
        <w:tabs>
          <w:tab w:val="num" w:pos="3600"/>
        </w:tabs>
        <w:ind w:left="3600" w:hanging="360"/>
      </w:pPr>
      <w:rPr>
        <w:rFonts w:ascii="Courier New" w:hAnsi="Courier New"/>
      </w:rPr>
    </w:lvl>
    <w:lvl w:ilvl="5" w:tplc="BFA49E1C">
      <w:start w:val="1"/>
      <w:numFmt w:val="bullet"/>
      <w:lvlText w:val=""/>
      <w:lvlJc w:val="left"/>
      <w:pPr>
        <w:tabs>
          <w:tab w:val="num" w:pos="4320"/>
        </w:tabs>
        <w:ind w:left="4320" w:hanging="360"/>
      </w:pPr>
      <w:rPr>
        <w:rFonts w:ascii="Wingdings" w:hAnsi="Wingdings"/>
      </w:rPr>
    </w:lvl>
    <w:lvl w:ilvl="6" w:tplc="4808E90E">
      <w:start w:val="1"/>
      <w:numFmt w:val="bullet"/>
      <w:lvlText w:val=""/>
      <w:lvlJc w:val="left"/>
      <w:pPr>
        <w:tabs>
          <w:tab w:val="num" w:pos="5040"/>
        </w:tabs>
        <w:ind w:left="5040" w:hanging="360"/>
      </w:pPr>
      <w:rPr>
        <w:rFonts w:ascii="Symbol" w:hAnsi="Symbol"/>
      </w:rPr>
    </w:lvl>
    <w:lvl w:ilvl="7" w:tplc="707A5C6C">
      <w:start w:val="1"/>
      <w:numFmt w:val="bullet"/>
      <w:lvlText w:val="o"/>
      <w:lvlJc w:val="left"/>
      <w:pPr>
        <w:tabs>
          <w:tab w:val="num" w:pos="5760"/>
        </w:tabs>
        <w:ind w:left="5760" w:hanging="360"/>
      </w:pPr>
      <w:rPr>
        <w:rFonts w:ascii="Courier New" w:hAnsi="Courier New"/>
      </w:rPr>
    </w:lvl>
    <w:lvl w:ilvl="8" w:tplc="253A838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E78"/>
    <w:rsid w:val="00015ABA"/>
    <w:rsid w:val="000413E9"/>
    <w:rsid w:val="00046075"/>
    <w:rsid w:val="00047738"/>
    <w:rsid w:val="00060094"/>
    <w:rsid w:val="0007092A"/>
    <w:rsid w:val="000741C6"/>
    <w:rsid w:val="00082130"/>
    <w:rsid w:val="000830EB"/>
    <w:rsid w:val="000A1BB1"/>
    <w:rsid w:val="000A32F2"/>
    <w:rsid w:val="000A731D"/>
    <w:rsid w:val="000D1589"/>
    <w:rsid w:val="000D4587"/>
    <w:rsid w:val="000F2A29"/>
    <w:rsid w:val="000F43B8"/>
    <w:rsid w:val="000F7C4C"/>
    <w:rsid w:val="001014A9"/>
    <w:rsid w:val="001110F1"/>
    <w:rsid w:val="001134E5"/>
    <w:rsid w:val="00113A34"/>
    <w:rsid w:val="001211E5"/>
    <w:rsid w:val="00126764"/>
    <w:rsid w:val="001426F2"/>
    <w:rsid w:val="00146B06"/>
    <w:rsid w:val="0014764C"/>
    <w:rsid w:val="0017004C"/>
    <w:rsid w:val="00181FA9"/>
    <w:rsid w:val="00182B12"/>
    <w:rsid w:val="00192000"/>
    <w:rsid w:val="001A2ADC"/>
    <w:rsid w:val="001A4A19"/>
    <w:rsid w:val="001C2008"/>
    <w:rsid w:val="001C6311"/>
    <w:rsid w:val="001E4DEB"/>
    <w:rsid w:val="001F1A1B"/>
    <w:rsid w:val="00211335"/>
    <w:rsid w:val="00216147"/>
    <w:rsid w:val="00230A10"/>
    <w:rsid w:val="00235E48"/>
    <w:rsid w:val="0026109E"/>
    <w:rsid w:val="00264966"/>
    <w:rsid w:val="00270883"/>
    <w:rsid w:val="00275C7A"/>
    <w:rsid w:val="00283B3A"/>
    <w:rsid w:val="00292657"/>
    <w:rsid w:val="002A6B2C"/>
    <w:rsid w:val="002B2F76"/>
    <w:rsid w:val="002C3412"/>
    <w:rsid w:val="002D1DD2"/>
    <w:rsid w:val="002E0C0C"/>
    <w:rsid w:val="003214F4"/>
    <w:rsid w:val="003241C9"/>
    <w:rsid w:val="003255CF"/>
    <w:rsid w:val="00332F77"/>
    <w:rsid w:val="00333AB1"/>
    <w:rsid w:val="00335144"/>
    <w:rsid w:val="00335A41"/>
    <w:rsid w:val="00350349"/>
    <w:rsid w:val="00357364"/>
    <w:rsid w:val="00361A76"/>
    <w:rsid w:val="003701AC"/>
    <w:rsid w:val="00387F54"/>
    <w:rsid w:val="00390890"/>
    <w:rsid w:val="003A4B05"/>
    <w:rsid w:val="003C46E3"/>
    <w:rsid w:val="003D5BF2"/>
    <w:rsid w:val="003D619C"/>
    <w:rsid w:val="003F3A79"/>
    <w:rsid w:val="003F55F7"/>
    <w:rsid w:val="004166EB"/>
    <w:rsid w:val="00416A9E"/>
    <w:rsid w:val="004206F6"/>
    <w:rsid w:val="00424B78"/>
    <w:rsid w:val="0044768B"/>
    <w:rsid w:val="004517A7"/>
    <w:rsid w:val="00451900"/>
    <w:rsid w:val="0045397C"/>
    <w:rsid w:val="0045580D"/>
    <w:rsid w:val="0045781E"/>
    <w:rsid w:val="0047419C"/>
    <w:rsid w:val="00492CC9"/>
    <w:rsid w:val="004A0835"/>
    <w:rsid w:val="004A10FD"/>
    <w:rsid w:val="004A3DA9"/>
    <w:rsid w:val="004B6B54"/>
    <w:rsid w:val="004C29D2"/>
    <w:rsid w:val="004C7C07"/>
    <w:rsid w:val="004D2CA4"/>
    <w:rsid w:val="004D2CFF"/>
    <w:rsid w:val="004D488F"/>
    <w:rsid w:val="004E08D1"/>
    <w:rsid w:val="004E4AF8"/>
    <w:rsid w:val="0050141C"/>
    <w:rsid w:val="005061A4"/>
    <w:rsid w:val="005121BD"/>
    <w:rsid w:val="0053533D"/>
    <w:rsid w:val="0053602F"/>
    <w:rsid w:val="00564364"/>
    <w:rsid w:val="00577A82"/>
    <w:rsid w:val="005A4401"/>
    <w:rsid w:val="005B2F3B"/>
    <w:rsid w:val="005C432B"/>
    <w:rsid w:val="005D2AD7"/>
    <w:rsid w:val="005D3A85"/>
    <w:rsid w:val="005E1FBB"/>
    <w:rsid w:val="005E78FA"/>
    <w:rsid w:val="005F280B"/>
    <w:rsid w:val="00606D00"/>
    <w:rsid w:val="00632EA4"/>
    <w:rsid w:val="00645D22"/>
    <w:rsid w:val="00653B6C"/>
    <w:rsid w:val="00654A69"/>
    <w:rsid w:val="006553D1"/>
    <w:rsid w:val="006657F0"/>
    <w:rsid w:val="006724A2"/>
    <w:rsid w:val="00683C95"/>
    <w:rsid w:val="00684067"/>
    <w:rsid w:val="00686116"/>
    <w:rsid w:val="00686710"/>
    <w:rsid w:val="00693ACE"/>
    <w:rsid w:val="006A1452"/>
    <w:rsid w:val="006A7E69"/>
    <w:rsid w:val="006B4962"/>
    <w:rsid w:val="006B7B63"/>
    <w:rsid w:val="006C7FAD"/>
    <w:rsid w:val="006D097E"/>
    <w:rsid w:val="006E3009"/>
    <w:rsid w:val="00700175"/>
    <w:rsid w:val="00712F6E"/>
    <w:rsid w:val="00717DD2"/>
    <w:rsid w:val="0072245C"/>
    <w:rsid w:val="00755F0C"/>
    <w:rsid w:val="0075799B"/>
    <w:rsid w:val="00760813"/>
    <w:rsid w:val="00765318"/>
    <w:rsid w:val="0077206A"/>
    <w:rsid w:val="00793F31"/>
    <w:rsid w:val="007946D4"/>
    <w:rsid w:val="007A39D6"/>
    <w:rsid w:val="007B01D6"/>
    <w:rsid w:val="007B0E92"/>
    <w:rsid w:val="007B4C31"/>
    <w:rsid w:val="007C085A"/>
    <w:rsid w:val="007C0C2B"/>
    <w:rsid w:val="007C4C46"/>
    <w:rsid w:val="007D0B7F"/>
    <w:rsid w:val="007D703B"/>
    <w:rsid w:val="007E33A2"/>
    <w:rsid w:val="00835363"/>
    <w:rsid w:val="008375CA"/>
    <w:rsid w:val="008507BC"/>
    <w:rsid w:val="00855364"/>
    <w:rsid w:val="00857DF8"/>
    <w:rsid w:val="008624BB"/>
    <w:rsid w:val="00872D00"/>
    <w:rsid w:val="00877640"/>
    <w:rsid w:val="0088686D"/>
    <w:rsid w:val="008945F8"/>
    <w:rsid w:val="00897009"/>
    <w:rsid w:val="008A0487"/>
    <w:rsid w:val="008E45AC"/>
    <w:rsid w:val="008F0A3B"/>
    <w:rsid w:val="008F181C"/>
    <w:rsid w:val="008F2E78"/>
    <w:rsid w:val="008F4B12"/>
    <w:rsid w:val="008F5F83"/>
    <w:rsid w:val="00935181"/>
    <w:rsid w:val="00944D97"/>
    <w:rsid w:val="00965F4D"/>
    <w:rsid w:val="00975397"/>
    <w:rsid w:val="0099529F"/>
    <w:rsid w:val="009A5221"/>
    <w:rsid w:val="009B34B0"/>
    <w:rsid w:val="009C62CF"/>
    <w:rsid w:val="009D1955"/>
    <w:rsid w:val="009D6B0F"/>
    <w:rsid w:val="009E7C30"/>
    <w:rsid w:val="009E7FA5"/>
    <w:rsid w:val="00A430A5"/>
    <w:rsid w:val="00A55A1A"/>
    <w:rsid w:val="00A71A80"/>
    <w:rsid w:val="00A77901"/>
    <w:rsid w:val="00A817DB"/>
    <w:rsid w:val="00AA4D1D"/>
    <w:rsid w:val="00AA5D78"/>
    <w:rsid w:val="00AC0606"/>
    <w:rsid w:val="00AD4471"/>
    <w:rsid w:val="00AD4C1A"/>
    <w:rsid w:val="00AE4D88"/>
    <w:rsid w:val="00AE4D9E"/>
    <w:rsid w:val="00AF600C"/>
    <w:rsid w:val="00AF6728"/>
    <w:rsid w:val="00B04713"/>
    <w:rsid w:val="00B063AA"/>
    <w:rsid w:val="00B2177F"/>
    <w:rsid w:val="00B21FB3"/>
    <w:rsid w:val="00B25DBD"/>
    <w:rsid w:val="00B30103"/>
    <w:rsid w:val="00B31131"/>
    <w:rsid w:val="00B62D10"/>
    <w:rsid w:val="00B76F7A"/>
    <w:rsid w:val="00B82111"/>
    <w:rsid w:val="00B84FE8"/>
    <w:rsid w:val="00B9180E"/>
    <w:rsid w:val="00BA1576"/>
    <w:rsid w:val="00BA181D"/>
    <w:rsid w:val="00BB6207"/>
    <w:rsid w:val="00BC4464"/>
    <w:rsid w:val="00BD4B12"/>
    <w:rsid w:val="00BF2995"/>
    <w:rsid w:val="00BF7969"/>
    <w:rsid w:val="00C13DB9"/>
    <w:rsid w:val="00C1413E"/>
    <w:rsid w:val="00C25303"/>
    <w:rsid w:val="00C255DB"/>
    <w:rsid w:val="00C27106"/>
    <w:rsid w:val="00C320D3"/>
    <w:rsid w:val="00C34FEC"/>
    <w:rsid w:val="00C6268F"/>
    <w:rsid w:val="00C663FB"/>
    <w:rsid w:val="00C748E3"/>
    <w:rsid w:val="00C76926"/>
    <w:rsid w:val="00C8189A"/>
    <w:rsid w:val="00C873DE"/>
    <w:rsid w:val="00C9196A"/>
    <w:rsid w:val="00CB4904"/>
    <w:rsid w:val="00CC0683"/>
    <w:rsid w:val="00CC3C59"/>
    <w:rsid w:val="00CC583F"/>
    <w:rsid w:val="00CD3A91"/>
    <w:rsid w:val="00CD6E42"/>
    <w:rsid w:val="00CE1D69"/>
    <w:rsid w:val="00CE5609"/>
    <w:rsid w:val="00CF06AB"/>
    <w:rsid w:val="00CF0DCF"/>
    <w:rsid w:val="00CF74FF"/>
    <w:rsid w:val="00D14783"/>
    <w:rsid w:val="00D2242F"/>
    <w:rsid w:val="00D35609"/>
    <w:rsid w:val="00D41BA9"/>
    <w:rsid w:val="00D5014B"/>
    <w:rsid w:val="00D63893"/>
    <w:rsid w:val="00D64202"/>
    <w:rsid w:val="00D72511"/>
    <w:rsid w:val="00D74DAF"/>
    <w:rsid w:val="00D7648A"/>
    <w:rsid w:val="00D81400"/>
    <w:rsid w:val="00D82028"/>
    <w:rsid w:val="00D8684D"/>
    <w:rsid w:val="00DD049C"/>
    <w:rsid w:val="00DF5114"/>
    <w:rsid w:val="00E121A0"/>
    <w:rsid w:val="00E16653"/>
    <w:rsid w:val="00E2119A"/>
    <w:rsid w:val="00E240C4"/>
    <w:rsid w:val="00E3670B"/>
    <w:rsid w:val="00E37214"/>
    <w:rsid w:val="00E520B8"/>
    <w:rsid w:val="00E57F5D"/>
    <w:rsid w:val="00E633F8"/>
    <w:rsid w:val="00E67642"/>
    <w:rsid w:val="00E82F17"/>
    <w:rsid w:val="00E85834"/>
    <w:rsid w:val="00E870C6"/>
    <w:rsid w:val="00E915C4"/>
    <w:rsid w:val="00EC51B3"/>
    <w:rsid w:val="00ED4E25"/>
    <w:rsid w:val="00EE7E54"/>
    <w:rsid w:val="00EE7EC4"/>
    <w:rsid w:val="00EF41BB"/>
    <w:rsid w:val="00F1451F"/>
    <w:rsid w:val="00F2082A"/>
    <w:rsid w:val="00F238C1"/>
    <w:rsid w:val="00F3272A"/>
    <w:rsid w:val="00F41951"/>
    <w:rsid w:val="00F4663A"/>
    <w:rsid w:val="00F5190E"/>
    <w:rsid w:val="00F87CE6"/>
    <w:rsid w:val="00F91905"/>
    <w:rsid w:val="00FA11FA"/>
    <w:rsid w:val="00FA495D"/>
    <w:rsid w:val="00FE5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E7AFF5"/>
  <w15:docId w15:val="{557FED74-F6E1-4CE5-B742-F2CB26F9E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BCE"/>
    <w:rPr>
      <w:sz w:val="24"/>
      <w:szCs w:val="24"/>
    </w:rPr>
  </w:style>
  <w:style w:type="paragraph" w:styleId="Heading1">
    <w:name w:val="heading 1"/>
    <w:basedOn w:val="Normal"/>
    <w:next w:val="Normal"/>
    <w:link w:val="Heading1Char"/>
    <w:qFormat/>
    <w:rsid w:val="000413E9"/>
    <w:pPr>
      <w:widowControl w:val="0"/>
      <w:spacing w:line="480" w:lineRule="auto"/>
      <w:outlineLvl w:val="0"/>
    </w:pPr>
    <w:rPr>
      <w:b/>
      <w:bCs/>
      <w:kern w:val="36"/>
      <w:szCs w:val="48"/>
    </w:rPr>
  </w:style>
  <w:style w:type="paragraph" w:styleId="Heading2">
    <w:name w:val="heading 2"/>
    <w:basedOn w:val="Normal"/>
    <w:next w:val="Normal"/>
    <w:qFormat/>
    <w:rsid w:val="00F238C1"/>
    <w:pPr>
      <w:keepNext/>
      <w:spacing w:before="240" w:after="60"/>
      <w:outlineLvl w:val="1"/>
    </w:pPr>
    <w:rPr>
      <w:b/>
      <w:bCs/>
      <w:iCs/>
      <w:sz w:val="36"/>
      <w:szCs w:val="36"/>
    </w:rPr>
  </w:style>
  <w:style w:type="paragraph" w:styleId="Heading3">
    <w:name w:val="heading 3"/>
    <w:basedOn w:val="Normal"/>
    <w:next w:val="Normal"/>
    <w:qFormat/>
    <w:rsid w:val="00F238C1"/>
    <w:pPr>
      <w:keepNext/>
      <w:spacing w:before="240" w:after="60"/>
      <w:outlineLvl w:val="2"/>
    </w:pPr>
    <w:rPr>
      <w:b/>
      <w:bCs/>
      <w:sz w:val="28"/>
      <w:szCs w:val="28"/>
    </w:rPr>
  </w:style>
  <w:style w:type="paragraph" w:styleId="Heading4">
    <w:name w:val="heading 4"/>
    <w:basedOn w:val="Normal"/>
    <w:next w:val="Normal"/>
    <w:qFormat/>
    <w:rsid w:val="00F238C1"/>
    <w:pPr>
      <w:keepNext/>
      <w:spacing w:before="240" w:after="60"/>
      <w:outlineLvl w:val="3"/>
    </w:pPr>
    <w:rPr>
      <w:b/>
      <w:bCs/>
    </w:rPr>
  </w:style>
  <w:style w:type="paragraph" w:styleId="Heading5">
    <w:name w:val="heading 5"/>
    <w:basedOn w:val="Normal"/>
    <w:next w:val="Normal"/>
    <w:qFormat/>
    <w:rsid w:val="00F238C1"/>
    <w:pPr>
      <w:spacing w:before="240" w:after="60"/>
      <w:outlineLvl w:val="4"/>
    </w:pPr>
    <w:rPr>
      <w:b/>
      <w:bCs/>
      <w:iCs/>
      <w:sz w:val="20"/>
      <w:szCs w:val="20"/>
    </w:rPr>
  </w:style>
  <w:style w:type="paragraph" w:styleId="Heading6">
    <w:name w:val="heading 6"/>
    <w:basedOn w:val="Normal"/>
    <w:next w:val="Normal"/>
    <w:qFormat/>
    <w:rsid w:val="00F238C1"/>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F238C1"/>
    <w:rPr>
      <w:sz w:val="16"/>
      <w:szCs w:val="16"/>
    </w:rPr>
  </w:style>
  <w:style w:type="character" w:customStyle="1" w:styleId="PlaceholderText1">
    <w:name w:val="Placeholder Text1"/>
    <w:basedOn w:val="DefaultParagraphFont"/>
    <w:uiPriority w:val="99"/>
    <w:semiHidden/>
    <w:rPr>
      <w:color w:val="80808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BalloonText">
    <w:name w:val="Balloon Text"/>
    <w:basedOn w:val="Normal"/>
    <w:link w:val="BalloonTextChar"/>
    <w:uiPriority w:val="99"/>
    <w:semiHidden/>
    <w:unhideWhenUsed/>
    <w:rsid w:val="004A3D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DA9"/>
    <w:rPr>
      <w:rFonts w:ascii="Segoe UI" w:hAnsi="Segoe UI" w:cs="Segoe UI"/>
      <w:sz w:val="18"/>
      <w:szCs w:val="18"/>
    </w:rPr>
  </w:style>
  <w:style w:type="paragraph" w:styleId="Header">
    <w:name w:val="header"/>
    <w:basedOn w:val="Normal"/>
    <w:link w:val="HeaderChar"/>
    <w:uiPriority w:val="99"/>
    <w:unhideWhenUsed/>
    <w:rsid w:val="00F238C1"/>
    <w:pPr>
      <w:tabs>
        <w:tab w:val="center" w:pos="4680"/>
        <w:tab w:val="right" w:pos="9360"/>
      </w:tabs>
    </w:pPr>
  </w:style>
  <w:style w:type="character" w:customStyle="1" w:styleId="HeaderChar">
    <w:name w:val="Header Char"/>
    <w:basedOn w:val="DefaultParagraphFont"/>
    <w:link w:val="Header"/>
    <w:uiPriority w:val="99"/>
    <w:rsid w:val="00F238C1"/>
    <w:rPr>
      <w:sz w:val="24"/>
      <w:szCs w:val="24"/>
    </w:rPr>
  </w:style>
  <w:style w:type="paragraph" w:styleId="Footer">
    <w:name w:val="footer"/>
    <w:basedOn w:val="Normal"/>
    <w:link w:val="FooterChar"/>
    <w:uiPriority w:val="99"/>
    <w:unhideWhenUsed/>
    <w:rsid w:val="00F238C1"/>
    <w:pPr>
      <w:tabs>
        <w:tab w:val="center" w:pos="4680"/>
        <w:tab w:val="right" w:pos="9360"/>
      </w:tabs>
    </w:pPr>
  </w:style>
  <w:style w:type="character" w:customStyle="1" w:styleId="FooterChar">
    <w:name w:val="Footer Char"/>
    <w:basedOn w:val="DefaultParagraphFont"/>
    <w:link w:val="Footer"/>
    <w:uiPriority w:val="99"/>
    <w:rsid w:val="00F238C1"/>
    <w:rPr>
      <w:sz w:val="24"/>
      <w:szCs w:val="24"/>
    </w:rPr>
  </w:style>
  <w:style w:type="paragraph" w:styleId="CommentSubject">
    <w:name w:val="annotation subject"/>
    <w:basedOn w:val="CommentText"/>
    <w:next w:val="CommentText"/>
    <w:link w:val="CommentSubjectChar"/>
    <w:uiPriority w:val="99"/>
    <w:semiHidden/>
    <w:unhideWhenUsed/>
    <w:rsid w:val="00F238C1"/>
    <w:rPr>
      <w:b/>
      <w:bCs/>
    </w:rPr>
  </w:style>
  <w:style w:type="character" w:customStyle="1" w:styleId="CommentSubjectChar">
    <w:name w:val="Comment Subject Char"/>
    <w:basedOn w:val="CommentTextChar"/>
    <w:link w:val="CommentSubject"/>
    <w:uiPriority w:val="99"/>
    <w:semiHidden/>
    <w:rsid w:val="00F238C1"/>
    <w:rPr>
      <w:b/>
      <w:bCs/>
    </w:rPr>
  </w:style>
  <w:style w:type="paragraph" w:styleId="Revision">
    <w:name w:val="Revision"/>
    <w:hidden/>
    <w:uiPriority w:val="99"/>
    <w:semiHidden/>
    <w:rsid w:val="00332F77"/>
    <w:rPr>
      <w:sz w:val="24"/>
      <w:szCs w:val="24"/>
    </w:rPr>
  </w:style>
  <w:style w:type="character" w:styleId="LineNumber">
    <w:name w:val="line number"/>
    <w:basedOn w:val="DefaultParagraphFont"/>
    <w:uiPriority w:val="99"/>
    <w:semiHidden/>
    <w:unhideWhenUsed/>
    <w:rsid w:val="000413E9"/>
  </w:style>
  <w:style w:type="paragraph" w:styleId="TOC1">
    <w:name w:val="toc 1"/>
    <w:basedOn w:val="Normal"/>
    <w:next w:val="Normal"/>
    <w:autoRedefine/>
    <w:uiPriority w:val="39"/>
    <w:unhideWhenUsed/>
    <w:rsid w:val="000413E9"/>
    <w:pPr>
      <w:tabs>
        <w:tab w:val="right" w:leader="dot" w:pos="9350"/>
      </w:tabs>
      <w:ind w:left="720" w:hanging="720"/>
    </w:pPr>
  </w:style>
  <w:style w:type="character" w:styleId="Hyperlink">
    <w:name w:val="Hyperlink"/>
    <w:basedOn w:val="DefaultParagraphFont"/>
    <w:uiPriority w:val="99"/>
    <w:unhideWhenUsed/>
    <w:rsid w:val="000413E9"/>
    <w:rPr>
      <w:color w:val="0563C1" w:themeColor="hyperlink"/>
      <w:u w:val="single"/>
    </w:rPr>
  </w:style>
  <w:style w:type="character" w:customStyle="1" w:styleId="Heading1Char">
    <w:name w:val="Heading 1 Char"/>
    <w:basedOn w:val="DefaultParagraphFont"/>
    <w:link w:val="Heading1"/>
    <w:rsid w:val="000413E9"/>
    <w:rPr>
      <w:b/>
      <w:bCs/>
      <w:kern w:val="36"/>
      <w:sz w:val="24"/>
      <w:szCs w:val="48"/>
    </w:rPr>
  </w:style>
  <w:style w:type="paragraph" w:customStyle="1" w:styleId="Default">
    <w:name w:val="Default"/>
    <w:rsid w:val="00D82028"/>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560714">
      <w:bodyDiv w:val="1"/>
      <w:marLeft w:val="0"/>
      <w:marRight w:val="0"/>
      <w:marTop w:val="0"/>
      <w:marBottom w:val="0"/>
      <w:divBdr>
        <w:top w:val="none" w:sz="0" w:space="0" w:color="auto"/>
        <w:left w:val="none" w:sz="0" w:space="0" w:color="auto"/>
        <w:bottom w:val="none" w:sz="0" w:space="0" w:color="auto"/>
        <w:right w:val="none" w:sz="0" w:space="0" w:color="auto"/>
      </w:divBdr>
    </w:div>
    <w:div w:id="959263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B68573F1-3978-4A81-93D3-6F1D71C14F7B}"/>
      </w:docPartPr>
      <w:docPartBody>
        <w:p w:rsidR="001E4C7B" w:rsidRDefault="004A6E6E">
          <w:r>
            <w:rPr>
              <w:rStyle w:val="Placeholde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1E4C7B"/>
    <w:rsid w:val="001358EC"/>
    <w:rsid w:val="00152017"/>
    <w:rsid w:val="001E4C7B"/>
    <w:rsid w:val="003144B0"/>
    <w:rsid w:val="004047A9"/>
    <w:rsid w:val="004A6E6E"/>
    <w:rsid w:val="00770E32"/>
    <w:rsid w:val="0079192B"/>
    <w:rsid w:val="00D03383"/>
    <w:rsid w:val="00DF3AD9"/>
    <w:rsid w:val="00F84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C80E7-2082-49BE-86AE-A6A3F1771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S. Hemmendinger</dc:creator>
  <cp:lastModifiedBy>Lucy Grelle</cp:lastModifiedBy>
  <cp:revision>4</cp:revision>
  <cp:lastPrinted>2018-10-02T16:56:00Z</cp:lastPrinted>
  <dcterms:created xsi:type="dcterms:W3CDTF">2018-10-02T16:57:00Z</dcterms:created>
  <dcterms:modified xsi:type="dcterms:W3CDTF">2018-10-02T18:39:00Z</dcterms:modified>
</cp:coreProperties>
</file>