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715E" w14:textId="77777777" w:rsidR="00157B9B" w:rsidRPr="008E6DC6" w:rsidRDefault="00157B9B" w:rsidP="00157B9B">
      <w:pPr>
        <w:pStyle w:val="LCOBillText"/>
        <w:ind w:firstLine="0"/>
        <w:jc w:val="center"/>
        <w:rPr>
          <w:rFonts w:ascii="Times New Roman" w:hAnsi="Times New Roman"/>
          <w:szCs w:val="24"/>
        </w:rPr>
      </w:pPr>
      <w:r w:rsidRPr="008E6DC6">
        <w:rPr>
          <w:rFonts w:ascii="Times New Roman" w:hAnsi="Times New Roman"/>
          <w:b/>
          <w:iCs/>
          <w:szCs w:val="24"/>
        </w:rPr>
        <w:t>{</w:t>
      </w:r>
      <w:r>
        <w:rPr>
          <w:rFonts w:ascii="Times New Roman" w:hAnsi="Times New Roman"/>
          <w:b/>
          <w:szCs w:val="24"/>
        </w:rPr>
        <w:t>Title of Act</w:t>
      </w:r>
      <w:r w:rsidRPr="008E6DC6">
        <w:rPr>
          <w:rFonts w:ascii="Times New Roman" w:hAnsi="Times New Roman"/>
          <w:b/>
          <w:bCs/>
          <w:szCs w:val="24"/>
        </w:rPr>
        <w:t>}</w:t>
      </w:r>
    </w:p>
    <w:p w14:paraId="672E00E2" w14:textId="77777777" w:rsidR="00157B9B" w:rsidRPr="0039488A" w:rsidRDefault="00157B9B" w:rsidP="00157B9B">
      <w:pPr>
        <w:spacing w:line="480" w:lineRule="auto"/>
        <w:rPr>
          <w:b/>
          <w:bCs/>
        </w:rPr>
      </w:pPr>
      <w:r w:rsidRPr="0039488A">
        <w:rPr>
          <w:b/>
          <w:bCs/>
        </w:rPr>
        <w:tab/>
      </w:r>
      <w:bookmarkStart w:id="0" w:name="_Toc516734891"/>
      <w:bookmarkStart w:id="1" w:name="_Toc60672965"/>
      <w:bookmarkStart w:id="2" w:name="_Toc60673171"/>
      <w:bookmarkStart w:id="3" w:name="_Toc60673308"/>
      <w:bookmarkStart w:id="4" w:name="_Toc60673612"/>
      <w:bookmarkStart w:id="5" w:name="_Toc60675466"/>
      <w:r w:rsidRPr="0039488A">
        <w:rPr>
          <w:rFonts w:eastAsiaTheme="majorEastAsia"/>
          <w:b/>
          <w:bCs/>
        </w:rPr>
        <w:t>Section 1.</w:t>
      </w:r>
      <w:bookmarkEnd w:id="0"/>
      <w:bookmarkEnd w:id="1"/>
      <w:bookmarkEnd w:id="2"/>
      <w:bookmarkEnd w:id="3"/>
      <w:bookmarkEnd w:id="4"/>
      <w:bookmarkEnd w:id="5"/>
      <w:r w:rsidRPr="0039488A">
        <w:rPr>
          <w:b/>
          <w:bCs/>
        </w:rPr>
        <w:t xml:space="preserve"> Title </w:t>
      </w:r>
    </w:p>
    <w:p w14:paraId="6AE4C0DB" w14:textId="77777777" w:rsidR="00157B9B" w:rsidRPr="008E6DC6" w:rsidRDefault="00157B9B" w:rsidP="00157B9B">
      <w:pPr>
        <w:spacing w:line="480" w:lineRule="auto"/>
        <w:rPr>
          <w:b/>
          <w:szCs w:val="24"/>
        </w:rPr>
      </w:pPr>
      <w:r>
        <w:rPr>
          <w:szCs w:val="24"/>
        </w:rPr>
        <w:tab/>
      </w:r>
      <w:r w:rsidRPr="008E6DC6">
        <w:rPr>
          <w:szCs w:val="24"/>
        </w:rPr>
        <w:t xml:space="preserve">This </w:t>
      </w:r>
      <w:r w:rsidRPr="008E6DC6">
        <w:rPr>
          <w:iCs/>
          <w:szCs w:val="24"/>
        </w:rPr>
        <w:t>[</w:t>
      </w:r>
      <w:r w:rsidRPr="008E6DC6">
        <w:rPr>
          <w:szCs w:val="24"/>
        </w:rPr>
        <w:t>act</w:t>
      </w:r>
      <w:r w:rsidRPr="008E6DC6">
        <w:rPr>
          <w:iCs/>
          <w:szCs w:val="24"/>
        </w:rPr>
        <w:t xml:space="preserve">] </w:t>
      </w:r>
      <w:r w:rsidRPr="008E6DC6">
        <w:rPr>
          <w:szCs w:val="24"/>
        </w:rPr>
        <w:t>may be cited as the {</w:t>
      </w:r>
      <w:r>
        <w:rPr>
          <w:szCs w:val="24"/>
        </w:rPr>
        <w:t>title of act}.</w:t>
      </w:r>
    </w:p>
    <w:p w14:paraId="64C77AD5" w14:textId="77777777" w:rsidR="00157B9B" w:rsidRPr="001C7E7F" w:rsidRDefault="00157B9B" w:rsidP="00157B9B">
      <w:pPr>
        <w:spacing w:line="480" w:lineRule="auto"/>
        <w:rPr>
          <w:b/>
          <w:bCs/>
        </w:rPr>
      </w:pPr>
      <w:bookmarkStart w:id="6" w:name="_Hlk512437242"/>
      <w:r w:rsidRPr="001C7E7F">
        <w:rPr>
          <w:b/>
          <w:bCs/>
        </w:rPr>
        <w:tab/>
      </w:r>
      <w:bookmarkStart w:id="7" w:name="_Toc516734892"/>
      <w:bookmarkStart w:id="8" w:name="_Toc60672966"/>
      <w:bookmarkStart w:id="9" w:name="_Toc60673172"/>
      <w:bookmarkStart w:id="10" w:name="_Toc60673309"/>
      <w:bookmarkStart w:id="11" w:name="_Toc60673613"/>
      <w:bookmarkStart w:id="12" w:name="_Toc60675467"/>
      <w:r w:rsidRPr="001C7E7F">
        <w:rPr>
          <w:rFonts w:eastAsiaTheme="majorEastAsia"/>
          <w:b/>
          <w:bCs/>
        </w:rPr>
        <w:t>Section 2. Definitions</w:t>
      </w:r>
      <w:bookmarkEnd w:id="7"/>
      <w:bookmarkEnd w:id="8"/>
      <w:bookmarkEnd w:id="9"/>
      <w:bookmarkEnd w:id="10"/>
      <w:bookmarkEnd w:id="11"/>
      <w:bookmarkEnd w:id="12"/>
      <w:r w:rsidRPr="001C7E7F">
        <w:rPr>
          <w:b/>
          <w:bCs/>
        </w:rPr>
        <w:t xml:space="preserve"> </w:t>
      </w:r>
    </w:p>
    <w:p w14:paraId="53C01F29" w14:textId="77777777" w:rsidR="00157B9B" w:rsidRPr="008E6DC6" w:rsidRDefault="00157B9B" w:rsidP="00157B9B">
      <w:pPr>
        <w:spacing w:line="480" w:lineRule="auto"/>
        <w:rPr>
          <w:szCs w:val="24"/>
        </w:rPr>
      </w:pPr>
      <w:r>
        <w:rPr>
          <w:szCs w:val="24"/>
        </w:rPr>
        <w:tab/>
      </w:r>
      <w:r w:rsidRPr="008E6DC6">
        <w:rPr>
          <w:szCs w:val="24"/>
        </w:rPr>
        <w:t xml:space="preserve">In this </w:t>
      </w:r>
      <w:r w:rsidRPr="008E6DC6">
        <w:rPr>
          <w:iCs/>
          <w:szCs w:val="24"/>
        </w:rPr>
        <w:t>[</w:t>
      </w:r>
      <w:r w:rsidRPr="008E6DC6">
        <w:rPr>
          <w:szCs w:val="24"/>
        </w:rPr>
        <w:t>act</w:t>
      </w:r>
      <w:r w:rsidRPr="008E6DC6">
        <w:rPr>
          <w:iCs/>
          <w:szCs w:val="24"/>
        </w:rPr>
        <w:t>]:</w:t>
      </w:r>
    </w:p>
    <w:bookmarkEnd w:id="6"/>
    <w:p w14:paraId="0C78434F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 w:rsidRPr="008E6D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color w:val="000000"/>
          <w:szCs w:val="24"/>
        </w:rPr>
        <w:t>(1) “Electronic” means relating to technology having electrical, digital, magnetic, wireless, optical, electromagnetic, or similar capabilities.</w:t>
      </w:r>
    </w:p>
    <w:p w14:paraId="7CBAF840" w14:textId="77777777" w:rsidR="00157B9B" w:rsidRPr="008E6DC6" w:rsidRDefault="00157B9B" w:rsidP="00157B9B">
      <w:pPr>
        <w:spacing w:line="48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* * *</w:t>
      </w:r>
    </w:p>
    <w:p w14:paraId="2BD2A530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color w:val="000000"/>
          <w:szCs w:val="24"/>
        </w:rPr>
        <w:t xml:space="preserve">(4) </w:t>
      </w:r>
      <w:r w:rsidRPr="008E6DC6">
        <w:rPr>
          <w:szCs w:val="24"/>
        </w:rPr>
        <w:t xml:space="preserve">“Person” means </w:t>
      </w:r>
      <w:r>
        <w:rPr>
          <w:szCs w:val="24"/>
        </w:rPr>
        <w:t>… {See Rule 304 for options for the definition of “Person”.}</w:t>
      </w:r>
    </w:p>
    <w:p w14:paraId="4B17F8AE" w14:textId="77777777" w:rsidR="00157B9B" w:rsidRDefault="00157B9B" w:rsidP="00157B9B">
      <w:pPr>
        <w:spacing w:line="480" w:lineRule="auto"/>
        <w:rPr>
          <w:szCs w:val="24"/>
        </w:rPr>
      </w:pPr>
      <w:r w:rsidRPr="008E6D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szCs w:val="24"/>
        </w:rPr>
        <w:t>(5) “Record” means information</w:t>
      </w:r>
      <w:r>
        <w:rPr>
          <w:szCs w:val="24"/>
        </w:rPr>
        <w:t>:</w:t>
      </w:r>
    </w:p>
    <w:p w14:paraId="71AC07AB" w14:textId="77777777" w:rsidR="00157B9B" w:rsidRDefault="00157B9B" w:rsidP="00157B9B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(A)</w:t>
      </w:r>
      <w:r w:rsidRPr="008E6DC6">
        <w:rPr>
          <w:szCs w:val="24"/>
        </w:rPr>
        <w:t xml:space="preserve"> inscribed on a tangible medium</w:t>
      </w:r>
      <w:r>
        <w:rPr>
          <w:szCs w:val="24"/>
        </w:rPr>
        <w:t xml:space="preserve">; </w:t>
      </w:r>
      <w:r w:rsidRPr="008E6DC6">
        <w:rPr>
          <w:szCs w:val="24"/>
        </w:rPr>
        <w:t>or</w:t>
      </w:r>
    </w:p>
    <w:p w14:paraId="6FAF30DE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(B) </w:t>
      </w:r>
      <w:r w:rsidRPr="008E6DC6">
        <w:rPr>
          <w:szCs w:val="24"/>
        </w:rPr>
        <w:t>stored in an electronic or other medium and retrievable in perceivable form.</w:t>
      </w:r>
    </w:p>
    <w:p w14:paraId="2EF29755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 w:rsidRPr="008E6D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color w:val="000000"/>
          <w:szCs w:val="24"/>
        </w:rPr>
        <w:t>(6) “Sign” means, with present intent to authenticate or adopt a record:</w:t>
      </w:r>
    </w:p>
    <w:p w14:paraId="2BA453E6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 w:rsidRPr="008E6DC6">
        <w:rPr>
          <w:color w:val="000000"/>
          <w:szCs w:val="24"/>
        </w:rPr>
        <w:tab/>
      </w:r>
      <w:r w:rsidRPr="008E6D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color w:val="000000"/>
          <w:szCs w:val="24"/>
        </w:rPr>
        <w:t>(A) execute or adopt a tangible symbol; or</w:t>
      </w:r>
    </w:p>
    <w:p w14:paraId="5A3364FC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 w:rsidRPr="008E6DC6">
        <w:rPr>
          <w:color w:val="000000"/>
          <w:szCs w:val="24"/>
        </w:rPr>
        <w:tab/>
      </w:r>
      <w:r w:rsidRPr="008E6D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color w:val="000000"/>
          <w:szCs w:val="24"/>
        </w:rPr>
        <w:t>(B) attach to or logically associate with the record an electronic symbol, sound, or process.</w:t>
      </w:r>
    </w:p>
    <w:p w14:paraId="00B60DDD" w14:textId="77777777" w:rsidR="00157B9B" w:rsidRPr="008E6DC6" w:rsidRDefault="00157B9B" w:rsidP="00157B9B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E6DC6">
        <w:rPr>
          <w:color w:val="000000"/>
          <w:szCs w:val="24"/>
        </w:rPr>
        <w:t xml:space="preserve">(7) “State” means a state of the United States, the District of Columbia, Puerto Rico, the United States Virgin Islands, or any </w:t>
      </w:r>
      <w:r>
        <w:rPr>
          <w:color w:val="000000"/>
          <w:szCs w:val="24"/>
        </w:rPr>
        <w:t xml:space="preserve">other </w:t>
      </w:r>
      <w:r w:rsidRPr="008E6DC6">
        <w:rPr>
          <w:color w:val="000000"/>
          <w:szCs w:val="24"/>
        </w:rPr>
        <w:t>territory or possession subject to the jurisdiction of the United States.</w:t>
      </w:r>
      <w:r>
        <w:rPr>
          <w:color w:val="000000"/>
          <w:szCs w:val="24"/>
        </w:rPr>
        <w:t xml:space="preserve"> {See Rule 305 for additional considerations concerning the definition of “State”.}</w:t>
      </w:r>
    </w:p>
    <w:p w14:paraId="633E837E" w14:textId="77777777" w:rsidR="00157B9B" w:rsidRPr="008E6DC6" w:rsidRDefault="00157B9B" w:rsidP="00157B9B">
      <w:pPr>
        <w:spacing w:line="480" w:lineRule="auto"/>
        <w:jc w:val="center"/>
        <w:rPr>
          <w:szCs w:val="24"/>
        </w:rPr>
      </w:pPr>
      <w:r>
        <w:rPr>
          <w:szCs w:val="24"/>
        </w:rPr>
        <w:t>* * *</w:t>
      </w:r>
    </w:p>
    <w:p w14:paraId="7047590E" w14:textId="77777777" w:rsidR="00157B9B" w:rsidRDefault="00157B9B" w:rsidP="00157B9B">
      <w:pPr>
        <w:rPr>
          <w:i/>
          <w:szCs w:val="24"/>
        </w:rPr>
      </w:pPr>
      <w:r w:rsidRPr="008E6DC6">
        <w:rPr>
          <w:i/>
          <w:iCs/>
          <w:szCs w:val="24"/>
        </w:rPr>
        <w:t>{</w:t>
      </w:r>
      <w:r w:rsidRPr="008E6DC6">
        <w:rPr>
          <w:b/>
          <w:i/>
          <w:szCs w:val="24"/>
        </w:rPr>
        <w:t xml:space="preserve">Legislative Note: </w:t>
      </w:r>
      <w:r>
        <w:rPr>
          <w:i/>
          <w:iCs/>
          <w:szCs w:val="24"/>
        </w:rPr>
        <w:t>For a section that includes</w:t>
      </w:r>
      <w:r w:rsidRPr="008E6DC6">
        <w:rPr>
          <w:i/>
          <w:szCs w:val="24"/>
        </w:rPr>
        <w:t xml:space="preserve"> </w:t>
      </w:r>
      <w:r>
        <w:rPr>
          <w:i/>
          <w:szCs w:val="24"/>
        </w:rPr>
        <w:t xml:space="preserve">a </w:t>
      </w:r>
      <w:r w:rsidRPr="008E6DC6">
        <w:rPr>
          <w:i/>
          <w:szCs w:val="24"/>
        </w:rPr>
        <w:t xml:space="preserve">bracketed choice or </w:t>
      </w:r>
      <w:r>
        <w:rPr>
          <w:i/>
          <w:szCs w:val="24"/>
        </w:rPr>
        <w:t xml:space="preserve">a </w:t>
      </w:r>
      <w:r w:rsidRPr="008E6DC6">
        <w:rPr>
          <w:i/>
          <w:szCs w:val="24"/>
        </w:rPr>
        <w:t>related policy decision</w:t>
      </w:r>
      <w:r>
        <w:rPr>
          <w:i/>
          <w:szCs w:val="24"/>
        </w:rPr>
        <w:t>, a legislative note must be inserted in this format.</w:t>
      </w:r>
      <w:r w:rsidRPr="008E6DC6">
        <w:rPr>
          <w:i/>
          <w:szCs w:val="24"/>
        </w:rPr>
        <w:t>}</w:t>
      </w:r>
    </w:p>
    <w:p w14:paraId="7C30630C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/>
          <w:sz w:val="24"/>
          <w:szCs w:val="24"/>
        </w:rPr>
      </w:pPr>
      <w:r w:rsidRPr="008E6DC6">
        <w:rPr>
          <w:rFonts w:ascii="Times New Roman" w:hAnsi="Times New Roman"/>
          <w:b/>
          <w:color w:val="000000"/>
          <w:sz w:val="24"/>
          <w:szCs w:val="24"/>
        </w:rPr>
        <w:lastRenderedPageBreak/>
        <w:t>{Comment</w:t>
      </w:r>
      <w:r w:rsidRPr="008E6DC6">
        <w:rPr>
          <w:rFonts w:ascii="Times New Roman" w:hAnsi="Times New Roman"/>
          <w:sz w:val="24"/>
          <w:szCs w:val="24"/>
        </w:rPr>
        <w:t xml:space="preserve"> </w:t>
      </w:r>
    </w:p>
    <w:p w14:paraId="6754B207" w14:textId="77777777" w:rsidR="00157B9B" w:rsidRDefault="00157B9B" w:rsidP="00157B9B">
      <w:pPr>
        <w:rPr>
          <w:szCs w:val="24"/>
        </w:rPr>
      </w:pPr>
      <w:r w:rsidRPr="008E6DC6">
        <w:rPr>
          <w:szCs w:val="24"/>
        </w:rPr>
        <w:tab/>
      </w:r>
      <w:r>
        <w:rPr>
          <w:szCs w:val="24"/>
        </w:rPr>
        <w:t xml:space="preserve">Following a section with comments, insert the heading “Comment” as above (centered and bolded) and single space the comment beginning at the second line below the heading, indented from the left margin. </w:t>
      </w:r>
    </w:p>
    <w:p w14:paraId="373E9B53" w14:textId="77777777" w:rsidR="00157B9B" w:rsidRDefault="00157B9B" w:rsidP="00157B9B">
      <w:pPr>
        <w:rPr>
          <w:szCs w:val="24"/>
        </w:rPr>
      </w:pPr>
    </w:p>
    <w:p w14:paraId="77D97E64" w14:textId="77777777" w:rsidR="00157B9B" w:rsidRDefault="00157B9B" w:rsidP="00157B9B">
      <w:pPr>
        <w:ind w:firstLine="720"/>
        <w:rPr>
          <w:szCs w:val="24"/>
        </w:rPr>
      </w:pPr>
      <w:r>
        <w:rPr>
          <w:szCs w:val="24"/>
        </w:rPr>
        <w:t>In a section without comments, the next section should begin double-spaced below the end of the preceding section.</w:t>
      </w:r>
      <w:r w:rsidRPr="008E6DC6">
        <w:rPr>
          <w:szCs w:val="24"/>
        </w:rPr>
        <w:t>}</w:t>
      </w:r>
    </w:p>
    <w:p w14:paraId="6DD2A7DA" w14:textId="77777777" w:rsidR="00157B9B" w:rsidRPr="00AC0118" w:rsidRDefault="00157B9B" w:rsidP="00157B9B">
      <w:pPr>
        <w:ind w:firstLine="720"/>
        <w:rPr>
          <w:szCs w:val="24"/>
        </w:rPr>
      </w:pPr>
    </w:p>
    <w:p w14:paraId="457E5B31" w14:textId="77777777" w:rsidR="00157B9B" w:rsidRPr="00A53394" w:rsidRDefault="00157B9B" w:rsidP="00157B9B">
      <w:pPr>
        <w:spacing w:line="480" w:lineRule="auto"/>
        <w:rPr>
          <w:b/>
          <w:bCs/>
        </w:rPr>
      </w:pPr>
      <w:bookmarkStart w:id="13" w:name="_Toc516734893"/>
      <w:bookmarkStart w:id="14" w:name="_Toc60672967"/>
      <w:bookmarkStart w:id="15" w:name="_Toc60673173"/>
      <w:bookmarkStart w:id="16" w:name="_Toc60673310"/>
      <w:bookmarkStart w:id="17" w:name="_Toc60673614"/>
      <w:r>
        <w:rPr>
          <w:b/>
          <w:bCs/>
        </w:rPr>
        <w:tab/>
      </w:r>
      <w:r w:rsidRPr="00A53394">
        <w:rPr>
          <w:b/>
          <w:bCs/>
        </w:rPr>
        <w:t>Section 3. {Insert section heading, e.g., Scope</w:t>
      </w:r>
      <w:bookmarkEnd w:id="13"/>
      <w:r w:rsidRPr="00A53394">
        <w:rPr>
          <w:b/>
          <w:bCs/>
        </w:rPr>
        <w:t>}</w:t>
      </w:r>
      <w:bookmarkEnd w:id="14"/>
      <w:bookmarkEnd w:id="15"/>
      <w:bookmarkEnd w:id="16"/>
      <w:bookmarkEnd w:id="17"/>
    </w:p>
    <w:p w14:paraId="1B7D5087" w14:textId="77777777" w:rsidR="00157B9B" w:rsidRPr="00AC0118" w:rsidRDefault="00157B9B" w:rsidP="00157B9B">
      <w:pPr>
        <w:spacing w:line="480" w:lineRule="auto"/>
        <w:rPr>
          <w:b/>
          <w:bCs/>
        </w:rPr>
      </w:pPr>
      <w:bookmarkStart w:id="18" w:name="_Toc60672968"/>
      <w:bookmarkStart w:id="19" w:name="_Toc60673174"/>
      <w:bookmarkStart w:id="20" w:name="_Toc60673311"/>
      <w:bookmarkStart w:id="21" w:name="_Toc60673615"/>
      <w:r>
        <w:rPr>
          <w:color w:val="000000"/>
        </w:rPr>
        <w:tab/>
      </w:r>
      <w:r w:rsidRPr="00EC551B">
        <w:rPr>
          <w:color w:val="000000"/>
        </w:rPr>
        <w:t xml:space="preserve">(a) </w:t>
      </w:r>
      <w:r>
        <w:rPr>
          <w:color w:val="000000"/>
        </w:rPr>
        <w:t xml:space="preserve">. . . </w:t>
      </w:r>
      <w:r w:rsidRPr="00EC551B">
        <w:t>{</w:t>
      </w:r>
      <w:r>
        <w:t>Continuation of this subsection beyond the first line returns to the left margin.</w:t>
      </w:r>
      <w:r w:rsidRPr="00EC551B">
        <w:t>}</w:t>
      </w:r>
      <w:bookmarkEnd w:id="18"/>
      <w:bookmarkEnd w:id="19"/>
      <w:bookmarkEnd w:id="20"/>
      <w:bookmarkEnd w:id="21"/>
    </w:p>
    <w:p w14:paraId="318709D6" w14:textId="77777777" w:rsidR="00157B9B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(1) </w:t>
      </w:r>
      <w:r>
        <w:rPr>
          <w:sz w:val="24"/>
          <w:szCs w:val="24"/>
        </w:rPr>
        <w:t xml:space="preserve">. . . {Continuation of this paragraph beyond the first line </w:t>
      </w:r>
      <w:r w:rsidRPr="00AC0118">
        <w:rPr>
          <w:sz w:val="24"/>
          <w:szCs w:val="24"/>
        </w:rPr>
        <w:t>returns to the left margin</w:t>
      </w:r>
      <w:r>
        <w:rPr>
          <w:sz w:val="24"/>
          <w:szCs w:val="24"/>
        </w:rPr>
        <w:t>.</w:t>
      </w:r>
      <w:r w:rsidRPr="00AC0118">
        <w:rPr>
          <w:sz w:val="24"/>
          <w:szCs w:val="24"/>
        </w:rPr>
        <w:t>}</w:t>
      </w:r>
    </w:p>
    <w:p w14:paraId="24911276" w14:textId="77777777" w:rsidR="00157B9B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(A) </w:t>
      </w:r>
      <w:r>
        <w:rPr>
          <w:sz w:val="24"/>
          <w:szCs w:val="24"/>
        </w:rPr>
        <w:t xml:space="preserve">. . . </w:t>
      </w:r>
      <w:r w:rsidRPr="00AC0118">
        <w:rPr>
          <w:sz w:val="24"/>
          <w:szCs w:val="24"/>
        </w:rPr>
        <w:t>{</w:t>
      </w:r>
      <w:r>
        <w:rPr>
          <w:sz w:val="24"/>
          <w:szCs w:val="24"/>
        </w:rPr>
        <w:t>Continuation of this subparagraph beyond the first line r</w:t>
      </w:r>
      <w:r w:rsidRPr="00AC0118">
        <w:rPr>
          <w:sz w:val="24"/>
          <w:szCs w:val="24"/>
        </w:rPr>
        <w:t>eturns to the left margin</w:t>
      </w:r>
      <w:r>
        <w:rPr>
          <w:sz w:val="24"/>
          <w:szCs w:val="24"/>
        </w:rPr>
        <w:t>.</w:t>
      </w:r>
      <w:r w:rsidRPr="00AC0118">
        <w:rPr>
          <w:sz w:val="24"/>
          <w:szCs w:val="24"/>
        </w:rPr>
        <w:t>}</w:t>
      </w:r>
    </w:p>
    <w:p w14:paraId="6C7E09CA" w14:textId="77777777" w:rsidR="00157B9B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(i) </w:t>
      </w:r>
      <w:r>
        <w:rPr>
          <w:sz w:val="24"/>
          <w:szCs w:val="24"/>
        </w:rPr>
        <w:t xml:space="preserve">. . . </w:t>
      </w:r>
      <w:r w:rsidRPr="00AC0118">
        <w:rPr>
          <w:sz w:val="24"/>
          <w:szCs w:val="24"/>
        </w:rPr>
        <w:t>{</w:t>
      </w:r>
      <w:r>
        <w:rPr>
          <w:sz w:val="24"/>
          <w:szCs w:val="24"/>
        </w:rPr>
        <w:t>Continuation of this clause beyond the first line r</w:t>
      </w:r>
      <w:r w:rsidRPr="00AC0118">
        <w:rPr>
          <w:sz w:val="24"/>
          <w:szCs w:val="24"/>
        </w:rPr>
        <w:t>eturns to the left margin</w:t>
      </w:r>
      <w:r>
        <w:rPr>
          <w:sz w:val="24"/>
          <w:szCs w:val="24"/>
        </w:rPr>
        <w:t>.</w:t>
      </w:r>
      <w:r w:rsidRPr="00AC0118">
        <w:rPr>
          <w:sz w:val="24"/>
          <w:szCs w:val="24"/>
        </w:rPr>
        <w:t>}</w:t>
      </w:r>
    </w:p>
    <w:p w14:paraId="3A4A6AD1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(I) . . . {Continuation of this subclause beyond the first line returns to the left margin.}</w:t>
      </w:r>
    </w:p>
    <w:p w14:paraId="53F0A512" w14:textId="77777777" w:rsidR="00157B9B" w:rsidRPr="00912630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516734899"/>
      <w:r w:rsidRPr="00912630">
        <w:rPr>
          <w:rFonts w:ascii="Times New Roman" w:hAnsi="Times New Roman"/>
          <w:bCs/>
          <w:color w:val="000000"/>
          <w:sz w:val="24"/>
          <w:szCs w:val="24"/>
        </w:rPr>
        <w:t>* * *</w:t>
      </w:r>
    </w:p>
    <w:p w14:paraId="51F998E0" w14:textId="77777777" w:rsidR="00157B9B" w:rsidRPr="00D8751B" w:rsidRDefault="00157B9B" w:rsidP="00157B9B">
      <w:pPr>
        <w:spacing w:line="480" w:lineRule="auto"/>
        <w:rPr>
          <w:rFonts w:eastAsia="MS Gothic"/>
          <w:b/>
          <w:bCs/>
        </w:rPr>
      </w:pPr>
      <w:bookmarkStart w:id="23" w:name="_Toc60672969"/>
      <w:bookmarkStart w:id="24" w:name="_Toc60673175"/>
      <w:bookmarkStart w:id="25" w:name="_Toc60673312"/>
      <w:bookmarkStart w:id="26" w:name="_Toc60673616"/>
      <w:r w:rsidRPr="00D8751B">
        <w:rPr>
          <w:rFonts w:eastAsia="MS Mincho"/>
          <w:b/>
          <w:bCs/>
        </w:rPr>
        <w:tab/>
      </w:r>
      <w:bookmarkStart w:id="27" w:name="_Toc60675468"/>
      <w:r w:rsidRPr="00E82357">
        <w:rPr>
          <w:rFonts w:eastAsia="MS Mincho"/>
          <w:b/>
          <w:bCs/>
        </w:rPr>
        <w:t>Section 4. Uniformity of Application and Construction</w:t>
      </w:r>
      <w:bookmarkEnd w:id="22"/>
      <w:bookmarkEnd w:id="23"/>
      <w:bookmarkEnd w:id="24"/>
      <w:bookmarkEnd w:id="25"/>
      <w:bookmarkEnd w:id="26"/>
      <w:bookmarkEnd w:id="27"/>
      <w:r w:rsidRPr="00D8751B">
        <w:rPr>
          <w:rFonts w:eastAsia="MS Gothic"/>
          <w:b/>
          <w:bCs/>
        </w:rPr>
        <w:t xml:space="preserve">  </w:t>
      </w:r>
    </w:p>
    <w:p w14:paraId="6F6AB472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DC6">
        <w:rPr>
          <w:rFonts w:ascii="Times New Roman" w:hAnsi="Times New Roman"/>
          <w:sz w:val="24"/>
          <w:szCs w:val="24"/>
        </w:rPr>
        <w:t xml:space="preserve">In applying and construing this uniform act, </w:t>
      </w:r>
      <w:r>
        <w:rPr>
          <w:rFonts w:ascii="Times New Roman" w:hAnsi="Times New Roman"/>
          <w:sz w:val="24"/>
          <w:szCs w:val="24"/>
        </w:rPr>
        <w:t xml:space="preserve">a court shall consider the promotion of </w:t>
      </w:r>
      <w:r w:rsidRPr="008E6DC6">
        <w:rPr>
          <w:rFonts w:ascii="Times New Roman" w:hAnsi="Times New Roman"/>
          <w:sz w:val="24"/>
          <w:szCs w:val="24"/>
        </w:rPr>
        <w:t xml:space="preserve">uniformity of the law among </w:t>
      </w:r>
      <w:r>
        <w:rPr>
          <w:rFonts w:ascii="Times New Roman" w:hAnsi="Times New Roman"/>
          <w:sz w:val="24"/>
          <w:szCs w:val="24"/>
        </w:rPr>
        <w:t>jurisdictions</w:t>
      </w:r>
      <w:r w:rsidRPr="008E6DC6">
        <w:rPr>
          <w:rFonts w:ascii="Times New Roman" w:hAnsi="Times New Roman"/>
          <w:sz w:val="24"/>
          <w:szCs w:val="24"/>
        </w:rPr>
        <w:t xml:space="preserve"> that enact it.</w:t>
      </w:r>
      <w:r>
        <w:rPr>
          <w:rFonts w:ascii="Times New Roman" w:hAnsi="Times New Roman"/>
          <w:sz w:val="24"/>
          <w:szCs w:val="24"/>
        </w:rPr>
        <w:t xml:space="preserve"> {Omit this provision from a model act.}</w:t>
      </w:r>
    </w:p>
    <w:p w14:paraId="6B9968E8" w14:textId="77777777" w:rsidR="00157B9B" w:rsidRPr="00EA67F5" w:rsidRDefault="00157B9B" w:rsidP="00157B9B">
      <w:pPr>
        <w:spacing w:line="480" w:lineRule="auto"/>
        <w:rPr>
          <w:rFonts w:eastAsia="MS Mincho"/>
          <w:b/>
          <w:bCs/>
        </w:rPr>
      </w:pPr>
      <w:r w:rsidRPr="00EA67F5">
        <w:rPr>
          <w:b/>
          <w:bCs/>
        </w:rPr>
        <w:tab/>
      </w:r>
      <w:bookmarkStart w:id="28" w:name="_Toc60672970"/>
      <w:bookmarkStart w:id="29" w:name="_Toc60673176"/>
      <w:bookmarkStart w:id="30" w:name="_Toc60673313"/>
      <w:bookmarkStart w:id="31" w:name="_Toc60673617"/>
      <w:bookmarkStart w:id="32" w:name="_Toc60675469"/>
      <w:bookmarkStart w:id="33" w:name="_Toc60675593"/>
      <w:r w:rsidRPr="00EA67F5">
        <w:rPr>
          <w:rFonts w:eastAsia="MS Mincho"/>
          <w:b/>
          <w:bCs/>
        </w:rPr>
        <w:t xml:space="preserve">Section 5. </w:t>
      </w:r>
      <w:r>
        <w:rPr>
          <w:rFonts w:eastAsia="MS Mincho"/>
          <w:b/>
          <w:bCs/>
        </w:rPr>
        <w:t xml:space="preserve">Relation to </w:t>
      </w:r>
      <w:r w:rsidRPr="00EA67F5">
        <w:rPr>
          <w:rFonts w:eastAsia="MS Mincho"/>
          <w:b/>
          <w:bCs/>
        </w:rPr>
        <w:t>Electronic Signatures in Global and National Commerce Act {Insert if necessary.}</w:t>
      </w:r>
      <w:bookmarkEnd w:id="28"/>
      <w:bookmarkEnd w:id="29"/>
      <w:bookmarkEnd w:id="30"/>
      <w:bookmarkEnd w:id="31"/>
      <w:bookmarkEnd w:id="32"/>
      <w:bookmarkEnd w:id="33"/>
    </w:p>
    <w:p w14:paraId="775A70E8" w14:textId="77777777" w:rsidR="00157B9B" w:rsidRPr="00AC0118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8E6DC6">
        <w:rPr>
          <w:rFonts w:ascii="Times New Roman" w:hAnsi="Times New Roman"/>
          <w:iCs/>
          <w:color w:val="000000"/>
          <w:sz w:val="24"/>
          <w:szCs w:val="24"/>
        </w:rPr>
        <w:t xml:space="preserve">This [act] modifies, limits, </w:t>
      </w:r>
      <w:r>
        <w:rPr>
          <w:rFonts w:ascii="Times New Roman" w:hAnsi="Times New Roman"/>
          <w:iCs/>
          <w:color w:val="000000"/>
          <w:sz w:val="24"/>
          <w:szCs w:val="24"/>
        </w:rPr>
        <w:t>or</w:t>
      </w:r>
      <w:r w:rsidRPr="008E6DC6">
        <w:rPr>
          <w:rFonts w:ascii="Times New Roman" w:hAnsi="Times New Roman"/>
          <w:iCs/>
          <w:color w:val="000000"/>
          <w:sz w:val="24"/>
          <w:szCs w:val="24"/>
        </w:rPr>
        <w:t xml:space="preserve"> supersedes the Electronic Signatures in Global and National Commerce Act, 15 U.S.C. Section 7001 et seq.</w:t>
      </w:r>
      <w:r>
        <w:rPr>
          <w:rFonts w:ascii="Times New Roman" w:hAnsi="Times New Roman"/>
          <w:iCs/>
          <w:color w:val="000000"/>
          <w:sz w:val="24"/>
          <w:szCs w:val="24"/>
        </w:rPr>
        <w:t>[, as amended]</w:t>
      </w:r>
      <w:r w:rsidRPr="008E6DC6">
        <w:rPr>
          <w:rFonts w:ascii="Times New Roman" w:hAnsi="Times New Roman"/>
          <w:iCs/>
          <w:color w:val="000000"/>
          <w:sz w:val="24"/>
          <w:szCs w:val="24"/>
        </w:rPr>
        <w:t xml:space="preserve">, but does not modify, limit, or supersede 15 U.S.C. Section 7001(c), or authorize electronic delivery of any of the notices </w:t>
      </w:r>
      <w:r w:rsidRPr="008E6DC6">
        <w:rPr>
          <w:rFonts w:ascii="Times New Roman" w:hAnsi="Times New Roman"/>
          <w:iCs/>
          <w:color w:val="000000"/>
          <w:sz w:val="24"/>
          <w:szCs w:val="24"/>
        </w:rPr>
        <w:lastRenderedPageBreak/>
        <w:t>described in 15 U.S.C. Section 7003(b).</w:t>
      </w:r>
    </w:p>
    <w:p w14:paraId="63AA7262" w14:textId="77777777" w:rsidR="00157B9B" w:rsidRDefault="00157B9B" w:rsidP="00157B9B">
      <w:pPr>
        <w:rPr>
          <w:i/>
          <w:iCs/>
          <w:szCs w:val="24"/>
        </w:rPr>
      </w:pPr>
      <w:r>
        <w:rPr>
          <w:b/>
          <w:bCs/>
          <w:i/>
          <w:iCs/>
          <w:szCs w:val="24"/>
        </w:rPr>
        <w:t>Legislative Note:</w:t>
      </w:r>
      <w:r>
        <w:rPr>
          <w:i/>
          <w:iCs/>
          <w:szCs w:val="24"/>
        </w:rPr>
        <w:t xml:space="preserve"> It is the intent of this act to incorporate future amendments to the cited federal law. A state in which the constitution or other law does not permit incorporation of future amendments when a federal statute is incorporated into state law should omit the phrase “, as amended”. A state in which, in the absence of a legislative declaration, future amendments are incorporated into state law also should omit the phrase.</w:t>
      </w:r>
    </w:p>
    <w:p w14:paraId="1CF30E6B" w14:textId="77777777" w:rsidR="00157B9B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/>
        <w:rPr>
          <w:rStyle w:val="Heading1Char"/>
          <w:rFonts w:ascii="Times New Roman" w:hAnsi="Times New Roman"/>
          <w:sz w:val="24"/>
          <w:szCs w:val="24"/>
        </w:rPr>
      </w:pPr>
    </w:p>
    <w:p w14:paraId="337CD92B" w14:textId="77777777" w:rsidR="00157B9B" w:rsidRPr="00D56F59" w:rsidRDefault="00157B9B" w:rsidP="00157B9B">
      <w:pPr>
        <w:spacing w:line="480" w:lineRule="auto"/>
        <w:rPr>
          <w:rFonts w:eastAsia="MS Mincho"/>
          <w:b/>
          <w:bCs/>
        </w:rPr>
      </w:pPr>
      <w:r w:rsidRPr="00D22A60">
        <w:rPr>
          <w:rFonts w:eastAsia="MS Mincho"/>
        </w:rPr>
        <w:tab/>
      </w:r>
      <w:bookmarkStart w:id="34" w:name="_Toc60672971"/>
      <w:bookmarkStart w:id="35" w:name="_Toc60673177"/>
      <w:bookmarkStart w:id="36" w:name="_Toc60673314"/>
      <w:bookmarkStart w:id="37" w:name="_Toc60673618"/>
      <w:bookmarkStart w:id="38" w:name="_Toc60675470"/>
      <w:bookmarkStart w:id="39" w:name="_Toc60675594"/>
      <w:r w:rsidRPr="00D56F59">
        <w:rPr>
          <w:rFonts w:eastAsia="MS Mincho"/>
          <w:b/>
          <w:bCs/>
        </w:rPr>
        <w:t>Section 6. {Saving Provision</w:t>
      </w:r>
      <w:bookmarkEnd w:id="34"/>
      <w:bookmarkEnd w:id="35"/>
      <w:bookmarkEnd w:id="36"/>
      <w:bookmarkEnd w:id="37"/>
      <w:bookmarkEnd w:id="38"/>
      <w:bookmarkEnd w:id="39"/>
    </w:p>
    <w:p w14:paraId="57A4063C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a saving provision is necessary, include appropriate language. See Rule 403.}</w:t>
      </w:r>
    </w:p>
    <w:p w14:paraId="4A900DCE" w14:textId="77777777" w:rsidR="00157B9B" w:rsidRPr="00D22A60" w:rsidRDefault="00157B9B" w:rsidP="00157B9B">
      <w:pPr>
        <w:spacing w:line="480" w:lineRule="auto"/>
        <w:rPr>
          <w:b/>
          <w:bCs/>
        </w:rPr>
      </w:pPr>
      <w:r w:rsidRPr="00D22A60">
        <w:rPr>
          <w:b/>
          <w:bCs/>
        </w:rPr>
        <w:tab/>
        <w:t>Section 7. {Transitional Provision</w:t>
      </w:r>
    </w:p>
    <w:p w14:paraId="136E61CB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a transitional provision is necessary, include appropriate language. See Rule 403.}</w:t>
      </w:r>
    </w:p>
    <w:p w14:paraId="0CAA66F1" w14:textId="77777777" w:rsidR="00157B9B" w:rsidRPr="00D22A60" w:rsidRDefault="00157B9B" w:rsidP="00157B9B">
      <w:pPr>
        <w:spacing w:line="480" w:lineRule="auto"/>
        <w:rPr>
          <w:b/>
          <w:bCs/>
        </w:rPr>
      </w:pPr>
      <w:bookmarkStart w:id="40" w:name="_Toc516734900"/>
      <w:r w:rsidRPr="00D22A60">
        <w:rPr>
          <w:rFonts w:eastAsia="MS Mincho"/>
          <w:b/>
          <w:bCs/>
        </w:rPr>
        <w:tab/>
      </w:r>
      <w:bookmarkStart w:id="41" w:name="_Toc60672972"/>
      <w:bookmarkStart w:id="42" w:name="_Toc60673178"/>
      <w:bookmarkStart w:id="43" w:name="_Toc60673315"/>
      <w:bookmarkStart w:id="44" w:name="_Toc60673619"/>
      <w:bookmarkStart w:id="45" w:name="_Toc60675471"/>
      <w:bookmarkStart w:id="46" w:name="_Toc60675595"/>
      <w:r w:rsidRPr="00D22A60">
        <w:rPr>
          <w:rFonts w:eastAsia="MS Mincho"/>
          <w:b/>
          <w:bCs/>
        </w:rPr>
        <w:t>[Section 8. S</w:t>
      </w:r>
      <w:bookmarkEnd w:id="40"/>
      <w:r w:rsidRPr="00D22A60">
        <w:rPr>
          <w:rFonts w:eastAsia="MS Mincho"/>
          <w:b/>
          <w:bCs/>
        </w:rPr>
        <w:t>everability</w:t>
      </w:r>
      <w:bookmarkEnd w:id="41"/>
      <w:bookmarkEnd w:id="42"/>
      <w:bookmarkEnd w:id="43"/>
      <w:bookmarkEnd w:id="44"/>
      <w:bookmarkEnd w:id="45"/>
      <w:bookmarkEnd w:id="46"/>
      <w:r w:rsidRPr="00D22A60">
        <w:rPr>
          <w:b/>
          <w:bCs/>
        </w:rPr>
        <w:t xml:space="preserve">  </w:t>
      </w:r>
    </w:p>
    <w:p w14:paraId="003BD5E4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E6DC6">
        <w:rPr>
          <w:rFonts w:ascii="Times New Roman" w:hAnsi="Times New Roman"/>
          <w:color w:val="000000"/>
          <w:sz w:val="24"/>
          <w:szCs w:val="24"/>
        </w:rPr>
        <w:t xml:space="preserve">If a provision of this [act] or its application to a person or circumstance is held invalid, the invalidity does not affect </w:t>
      </w:r>
      <w:r>
        <w:rPr>
          <w:rFonts w:ascii="Times New Roman" w:hAnsi="Times New Roman"/>
          <w:color w:val="000000"/>
          <w:sz w:val="24"/>
          <w:szCs w:val="24"/>
        </w:rPr>
        <w:t>another provision or application that</w:t>
      </w:r>
      <w:r w:rsidRPr="008E6DC6">
        <w:rPr>
          <w:rFonts w:ascii="Times New Roman" w:hAnsi="Times New Roman"/>
          <w:color w:val="000000"/>
          <w:sz w:val="24"/>
          <w:szCs w:val="24"/>
        </w:rPr>
        <w:t xml:space="preserve"> can be given effect without the invalid provision.]</w:t>
      </w:r>
    </w:p>
    <w:p w14:paraId="128930FF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8E6DC6">
        <w:rPr>
          <w:rFonts w:ascii="Times New Roman" w:hAnsi="Times New Roman"/>
          <w:b/>
          <w:i/>
          <w:color w:val="000000"/>
          <w:sz w:val="24"/>
          <w:szCs w:val="24"/>
        </w:rPr>
        <w:t xml:space="preserve">Legislative Note: </w:t>
      </w:r>
      <w:r w:rsidRPr="008E6DC6">
        <w:rPr>
          <w:rFonts w:ascii="Times New Roman" w:hAnsi="Times New Roman"/>
          <w:i/>
          <w:color w:val="000000"/>
          <w:sz w:val="24"/>
          <w:szCs w:val="24"/>
        </w:rPr>
        <w:t>Include this section only if th</w:t>
      </w: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8E6DC6">
        <w:rPr>
          <w:rFonts w:ascii="Times New Roman" w:hAnsi="Times New Roman"/>
          <w:i/>
          <w:color w:val="000000"/>
          <w:sz w:val="24"/>
          <w:szCs w:val="24"/>
        </w:rPr>
        <w:t xml:space="preserve"> state lacks a general severability statute or a</w:t>
      </w:r>
      <w:r w:rsidRPr="008E6DC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8E6DC6">
        <w:rPr>
          <w:rFonts w:ascii="Times New Roman" w:hAnsi="Times New Roman"/>
          <w:i/>
          <w:color w:val="000000"/>
          <w:sz w:val="24"/>
          <w:szCs w:val="24"/>
        </w:rPr>
        <w:t>decision by the highest court of th</w:t>
      </w: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8E6DC6">
        <w:rPr>
          <w:rFonts w:ascii="Times New Roman" w:hAnsi="Times New Roman"/>
          <w:i/>
          <w:color w:val="000000"/>
          <w:sz w:val="24"/>
          <w:szCs w:val="24"/>
        </w:rPr>
        <w:t xml:space="preserve"> state stating a general rule of severability.</w:t>
      </w:r>
    </w:p>
    <w:p w14:paraId="34295DB6" w14:textId="77777777" w:rsidR="00157B9B" w:rsidRPr="008E6DC6" w:rsidRDefault="00157B9B" w:rsidP="00157B9B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1FCE45E" w14:textId="77777777" w:rsidR="00157B9B" w:rsidRPr="00366A03" w:rsidRDefault="00157B9B" w:rsidP="00157B9B">
      <w:pPr>
        <w:spacing w:line="480" w:lineRule="auto"/>
        <w:rPr>
          <w:b/>
          <w:bCs/>
        </w:rPr>
      </w:pPr>
      <w:bookmarkStart w:id="47" w:name="_Toc516734901"/>
      <w:r w:rsidRPr="00366A03">
        <w:rPr>
          <w:b/>
          <w:bCs/>
        </w:rPr>
        <w:tab/>
      </w:r>
      <w:bookmarkStart w:id="48" w:name="_Toc60672973"/>
      <w:bookmarkStart w:id="49" w:name="_Toc60673179"/>
      <w:bookmarkStart w:id="50" w:name="_Toc60673316"/>
      <w:bookmarkStart w:id="51" w:name="_Toc60673620"/>
      <w:r w:rsidRPr="00366A03">
        <w:rPr>
          <w:b/>
          <w:bCs/>
        </w:rPr>
        <w:t>[Section 9. Repeals; Conforming Amendments</w:t>
      </w:r>
      <w:bookmarkEnd w:id="47"/>
      <w:bookmarkEnd w:id="48"/>
      <w:bookmarkEnd w:id="49"/>
      <w:bookmarkEnd w:id="50"/>
      <w:bookmarkEnd w:id="51"/>
    </w:p>
    <w:p w14:paraId="4DD1C09D" w14:textId="77777777" w:rsidR="00157B9B" w:rsidRPr="008E6DC6" w:rsidRDefault="00157B9B" w:rsidP="00157B9B">
      <w:pPr>
        <w:spacing w:line="480" w:lineRule="auto"/>
        <w:rPr>
          <w:szCs w:val="24"/>
        </w:rPr>
      </w:pPr>
      <w:r w:rsidRPr="008E6DC6">
        <w:rPr>
          <w:szCs w:val="24"/>
        </w:rPr>
        <w:tab/>
        <w:t>(a) . . .</w:t>
      </w:r>
    </w:p>
    <w:p w14:paraId="02D73868" w14:textId="77777777" w:rsidR="00157B9B" w:rsidRPr="008E6DC6" w:rsidRDefault="00157B9B" w:rsidP="00157B9B">
      <w:pPr>
        <w:spacing w:line="480" w:lineRule="auto"/>
        <w:rPr>
          <w:szCs w:val="24"/>
        </w:rPr>
      </w:pPr>
      <w:r w:rsidRPr="008E6DC6">
        <w:rPr>
          <w:szCs w:val="24"/>
        </w:rPr>
        <w:tab/>
        <w:t>(b) . . .</w:t>
      </w:r>
      <w:r>
        <w:rPr>
          <w:szCs w:val="24"/>
        </w:rPr>
        <w:t>]</w:t>
      </w:r>
      <w:r w:rsidRPr="008E6DC6">
        <w:rPr>
          <w:szCs w:val="24"/>
        </w:rPr>
        <w:t xml:space="preserve"> </w:t>
      </w:r>
    </w:p>
    <w:p w14:paraId="159B9A71" w14:textId="77777777" w:rsidR="00157B9B" w:rsidRDefault="00157B9B" w:rsidP="00157B9B">
      <w:pPr>
        <w:rPr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Legislative Note: </w:t>
      </w:r>
      <w:r>
        <w:rPr>
          <w:i/>
          <w:iCs/>
          <w:szCs w:val="24"/>
        </w:rPr>
        <w:t xml:space="preserve">A </w:t>
      </w:r>
      <w:r w:rsidRPr="008E6DC6">
        <w:rPr>
          <w:i/>
          <w:iCs/>
          <w:szCs w:val="24"/>
        </w:rPr>
        <w:t xml:space="preserve">state should examine its statutes to determine whether conforming revisions are required </w:t>
      </w:r>
      <w:r>
        <w:rPr>
          <w:i/>
          <w:iCs/>
          <w:szCs w:val="24"/>
        </w:rPr>
        <w:t xml:space="preserve">by </w:t>
      </w:r>
      <w:r w:rsidRPr="008E6DC6">
        <w:rPr>
          <w:i/>
          <w:iCs/>
          <w:szCs w:val="24"/>
        </w:rPr>
        <w:t>provisions of this act relating to</w:t>
      </w:r>
      <w:r>
        <w:rPr>
          <w:i/>
          <w:iCs/>
          <w:szCs w:val="24"/>
        </w:rPr>
        <w:t xml:space="preserve"> </w:t>
      </w:r>
      <w:proofErr w:type="gramStart"/>
      <w:r w:rsidRPr="008E6DC6">
        <w:rPr>
          <w:i/>
          <w:iCs/>
          <w:szCs w:val="24"/>
        </w:rPr>
        <w:t xml:space="preserve">{  </w:t>
      </w:r>
      <w:proofErr w:type="gramEnd"/>
      <w:r w:rsidRPr="008E6DC6">
        <w:rPr>
          <w:i/>
          <w:iCs/>
          <w:szCs w:val="24"/>
        </w:rPr>
        <w:t xml:space="preserve">  }</w:t>
      </w:r>
      <w:r>
        <w:rPr>
          <w:i/>
          <w:iCs/>
          <w:szCs w:val="24"/>
        </w:rPr>
        <w:t>. S</w:t>
      </w:r>
      <w:r w:rsidRPr="008E6DC6">
        <w:rPr>
          <w:i/>
          <w:iCs/>
          <w:szCs w:val="24"/>
        </w:rPr>
        <w:t xml:space="preserve">ee Section </w:t>
      </w:r>
      <w:proofErr w:type="gramStart"/>
      <w:r w:rsidRPr="008E6DC6">
        <w:rPr>
          <w:i/>
          <w:iCs/>
          <w:szCs w:val="24"/>
        </w:rPr>
        <w:t xml:space="preserve">{  </w:t>
      </w:r>
      <w:proofErr w:type="gramEnd"/>
      <w:r w:rsidRPr="008E6DC6">
        <w:rPr>
          <w:i/>
          <w:iCs/>
          <w:szCs w:val="24"/>
        </w:rPr>
        <w:t xml:space="preserve"> }.</w:t>
      </w:r>
    </w:p>
    <w:p w14:paraId="0D809E6C" w14:textId="77777777" w:rsidR="00157B9B" w:rsidRPr="008E6DC6" w:rsidRDefault="00157B9B" w:rsidP="00157B9B">
      <w:pPr>
        <w:rPr>
          <w:i/>
          <w:iCs/>
          <w:szCs w:val="24"/>
        </w:rPr>
      </w:pPr>
    </w:p>
    <w:p w14:paraId="1A4A56A6" w14:textId="77777777" w:rsidR="00157B9B" w:rsidRPr="00D22A60" w:rsidRDefault="00157B9B" w:rsidP="00157B9B">
      <w:pPr>
        <w:spacing w:line="480" w:lineRule="auto"/>
        <w:rPr>
          <w:rFonts w:eastAsiaTheme="majorEastAsia"/>
          <w:b/>
          <w:bCs/>
        </w:rPr>
      </w:pPr>
      <w:r w:rsidRPr="00D22A60">
        <w:rPr>
          <w:rFonts w:eastAsiaTheme="majorEastAsia"/>
          <w:b/>
          <w:bCs/>
        </w:rPr>
        <w:tab/>
      </w:r>
      <w:bookmarkStart w:id="52" w:name="_Toc516734902"/>
      <w:bookmarkStart w:id="53" w:name="_Toc60672974"/>
      <w:bookmarkStart w:id="54" w:name="_Toc60673180"/>
      <w:bookmarkStart w:id="55" w:name="_Toc60673317"/>
      <w:bookmarkStart w:id="56" w:name="_Toc60673621"/>
      <w:bookmarkStart w:id="57" w:name="_Toc60675472"/>
      <w:bookmarkStart w:id="58" w:name="_Toc60675596"/>
      <w:r w:rsidRPr="00D22A60">
        <w:rPr>
          <w:rFonts w:eastAsiaTheme="majorEastAsia"/>
          <w:b/>
          <w:bCs/>
        </w:rPr>
        <w:t xml:space="preserve">Section 10. </w:t>
      </w:r>
      <w:bookmarkEnd w:id="52"/>
      <w:r w:rsidRPr="00D22A60">
        <w:rPr>
          <w:rFonts w:eastAsiaTheme="majorEastAsia"/>
          <w:b/>
          <w:bCs/>
        </w:rPr>
        <w:t>Effective Date</w:t>
      </w:r>
      <w:bookmarkEnd w:id="53"/>
      <w:bookmarkEnd w:id="54"/>
      <w:bookmarkEnd w:id="55"/>
      <w:bookmarkEnd w:id="56"/>
      <w:bookmarkEnd w:id="57"/>
      <w:bookmarkEnd w:id="58"/>
    </w:p>
    <w:p w14:paraId="3EC8F170" w14:textId="3AFB8E50" w:rsidR="00DB60FB" w:rsidRDefault="00157B9B">
      <w:r>
        <w:rPr>
          <w:szCs w:val="24"/>
        </w:rPr>
        <w:tab/>
      </w:r>
      <w:r w:rsidRPr="008E6DC6">
        <w:rPr>
          <w:szCs w:val="24"/>
        </w:rPr>
        <w:t>This [act] takes effect . . .</w:t>
      </w:r>
    </w:p>
    <w:sectPr w:rsidR="00DB60FB" w:rsidSect="00157B9B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9B"/>
    <w:rsid w:val="00157B9B"/>
    <w:rsid w:val="0024616D"/>
    <w:rsid w:val="006533E8"/>
    <w:rsid w:val="00655584"/>
    <w:rsid w:val="006D42EC"/>
    <w:rsid w:val="0072153A"/>
    <w:rsid w:val="00731A12"/>
    <w:rsid w:val="007A2058"/>
    <w:rsid w:val="0084394B"/>
    <w:rsid w:val="009B0273"/>
    <w:rsid w:val="00A93E3C"/>
    <w:rsid w:val="00AC3D2C"/>
    <w:rsid w:val="00BA4C0B"/>
    <w:rsid w:val="00CB6EC9"/>
    <w:rsid w:val="00CD2598"/>
    <w:rsid w:val="00D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9FFB"/>
  <w15:chartTrackingRefBased/>
  <w15:docId w15:val="{02F52077-CC16-4989-B838-6AE655D5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B9B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B9B"/>
    <w:rPr>
      <w:rFonts w:eastAsiaTheme="majorEastAsia" w:cstheme="majorBidi"/>
      <w:b/>
      <w:szCs w:val="32"/>
    </w:rPr>
  </w:style>
  <w:style w:type="paragraph" w:styleId="NormalWeb">
    <w:name w:val="Normal (Web)"/>
    <w:basedOn w:val="Normal"/>
    <w:uiPriority w:val="99"/>
    <w:unhideWhenUsed/>
    <w:rsid w:val="00157B9B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LCOBillText">
    <w:name w:val="LCO Bill Text"/>
    <w:basedOn w:val="Normal"/>
    <w:link w:val="LCOBillTextChar"/>
    <w:qFormat/>
    <w:rsid w:val="00157B9B"/>
    <w:pPr>
      <w:autoSpaceDE/>
      <w:autoSpaceDN/>
      <w:adjustRightInd/>
      <w:spacing w:after="240" w:line="288" w:lineRule="auto"/>
      <w:ind w:firstLine="288"/>
      <w:jc w:val="both"/>
    </w:pPr>
    <w:rPr>
      <w:rFonts w:ascii="Book Antiqua" w:eastAsia="Calibri" w:hAnsi="Book Antiqua"/>
      <w:snapToGrid w:val="0"/>
    </w:rPr>
  </w:style>
  <w:style w:type="character" w:customStyle="1" w:styleId="LCOBillTextChar">
    <w:name w:val="LCO Bill Text Char"/>
    <w:link w:val="LCOBillText"/>
    <w:rsid w:val="00157B9B"/>
    <w:rPr>
      <w:rFonts w:ascii="Book Antiqua" w:eastAsia="Calibri" w:hAnsi="Book Antiqua" w:cs="Times New Roman"/>
      <w:snapToGrid w:val="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5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A11E9267C73479016DD9AF269CF94" ma:contentTypeVersion="6" ma:contentTypeDescription="Create a new document." ma:contentTypeScope="" ma:versionID="4eeeceb8ce45152c9c99ea76bdbc4f40">
  <xsd:schema xmlns:xsd="http://www.w3.org/2001/XMLSchema" xmlns:xs="http://www.w3.org/2001/XMLSchema" xmlns:p="http://schemas.microsoft.com/office/2006/metadata/properties" xmlns:ns2="0362d699-4759-4e8c-a764-bf5609123e25" xmlns:ns3="d3e82715-b520-4e06-92aa-3f00bade87b4" targetNamespace="http://schemas.microsoft.com/office/2006/metadata/properties" ma:root="true" ma:fieldsID="78c856085e73a936ea808ff51f0f5386" ns2:_="" ns3:_="">
    <xsd:import namespace="0362d699-4759-4e8c-a764-bf5609123e25"/>
    <xsd:import namespace="d3e82715-b520-4e06-92aa-3f00bade87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d699-4759-4e8c-a764-bf5609123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82715-b520-4e06-92aa-3f00bade8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A6223-E625-4877-BD0C-E3C58A83A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2d699-4759-4e8c-a764-bf5609123e25"/>
    <ds:schemaRef ds:uri="d3e82715-b520-4e06-92aa-3f00bade8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2454F-9B95-406A-8E52-12E65E0AB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A90E9-7C54-4F90-B772-3177078D2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Grelle</dc:creator>
  <cp:keywords/>
  <dc:description/>
  <cp:lastModifiedBy>Lucy Grelle</cp:lastModifiedBy>
  <cp:revision>2</cp:revision>
  <dcterms:created xsi:type="dcterms:W3CDTF">2021-05-19T20:33:00Z</dcterms:created>
  <dcterms:modified xsi:type="dcterms:W3CDTF">2021-05-19T20:38:00Z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0x010100132A11E9267C73479016DD9AF269CF94</vt:lpwstr>
  </property>
</Properties>
</file>